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128DF1C" w:rsidR="00CD4C7B" w:rsidRPr="00B266B0" w:rsidRDefault="005677FF" w:rsidP="00CD4C7B">
      <w:pPr>
        <w:pStyle w:val="Header"/>
        <w:tabs>
          <w:tab w:val="right" w:pos="9639"/>
        </w:tabs>
        <w:rPr>
          <w:bCs/>
          <w:i/>
          <w:noProof w:val="0"/>
          <w:sz w:val="24"/>
          <w:szCs w:val="24"/>
        </w:rPr>
      </w:pPr>
      <w:r>
        <w:rPr>
          <w:bCs/>
          <w:noProof w:val="0"/>
          <w:sz w:val="24"/>
          <w:szCs w:val="24"/>
        </w:rPr>
        <w:t>3GPP TSG-RAN WG2 Meeting #102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F5A93">
        <w:rPr>
          <w:bCs/>
          <w:noProof w:val="0"/>
          <w:sz w:val="24"/>
          <w:szCs w:val="24"/>
        </w:rPr>
        <w:t>07881</w:t>
      </w:r>
    </w:p>
    <w:p w14:paraId="231362B2" w14:textId="228F5AD3" w:rsidR="00CD4C7B" w:rsidRPr="00B266B0" w:rsidRDefault="005677FF" w:rsidP="00CD4C7B">
      <w:pPr>
        <w:pStyle w:val="Header"/>
        <w:tabs>
          <w:tab w:val="right" w:pos="9639"/>
        </w:tabs>
        <w:rPr>
          <w:bCs/>
          <w:noProof w:val="0"/>
          <w:sz w:val="24"/>
          <w:szCs w:val="24"/>
        </w:rPr>
      </w:pPr>
      <w:r>
        <w:rPr>
          <w:rFonts w:eastAsia="SimSun"/>
          <w:noProof w:val="0"/>
          <w:sz w:val="24"/>
          <w:szCs w:val="24"/>
          <w:lang w:eastAsia="zh-CN"/>
        </w:rPr>
        <w:t>Busan, South Korea, 21</w:t>
      </w:r>
      <w:r w:rsidRPr="005677FF">
        <w:rPr>
          <w:rFonts w:eastAsia="SimSun"/>
          <w:noProof w:val="0"/>
          <w:sz w:val="24"/>
          <w:szCs w:val="24"/>
          <w:vertAlign w:val="superscript"/>
          <w:lang w:eastAsia="zh-CN"/>
        </w:rPr>
        <w:t>st</w:t>
      </w:r>
      <w:r>
        <w:rPr>
          <w:rFonts w:eastAsia="SimSun"/>
          <w:noProof w:val="0"/>
          <w:sz w:val="24"/>
          <w:szCs w:val="24"/>
          <w:lang w:eastAsia="zh-CN"/>
        </w:rPr>
        <w:t xml:space="preserve"> </w:t>
      </w:r>
      <w:r w:rsidR="00231728" w:rsidRPr="00231728">
        <w:rPr>
          <w:rFonts w:eastAsia="SimSun"/>
          <w:noProof w:val="0"/>
          <w:sz w:val="24"/>
          <w:szCs w:val="24"/>
          <w:lang w:eastAsia="zh-CN"/>
        </w:rPr>
        <w:t>- 2</w:t>
      </w:r>
      <w:r>
        <w:rPr>
          <w:rFonts w:eastAsia="SimSun"/>
          <w:noProof w:val="0"/>
          <w:sz w:val="24"/>
          <w:szCs w:val="24"/>
          <w:lang w:eastAsia="zh-CN"/>
        </w:rPr>
        <w:t>5</w:t>
      </w:r>
      <w:r w:rsidR="00231728" w:rsidRPr="00231728">
        <w:rPr>
          <w:rFonts w:eastAsia="SimSun"/>
          <w:noProof w:val="0"/>
          <w:sz w:val="24"/>
          <w:szCs w:val="24"/>
          <w:vertAlign w:val="superscript"/>
          <w:lang w:eastAsia="zh-CN"/>
        </w:rPr>
        <w:t>th</w:t>
      </w:r>
      <w:r w:rsidR="00231728">
        <w:rPr>
          <w:rFonts w:eastAsia="SimSun"/>
          <w:noProof w:val="0"/>
          <w:sz w:val="24"/>
          <w:szCs w:val="24"/>
          <w:lang w:eastAsia="zh-CN"/>
        </w:rPr>
        <w:t xml:space="preserve"> </w:t>
      </w:r>
      <w:r>
        <w:rPr>
          <w:rFonts w:eastAsia="SimSun"/>
          <w:noProof w:val="0"/>
          <w:sz w:val="24"/>
          <w:szCs w:val="24"/>
          <w:lang w:eastAsia="zh-CN"/>
        </w:rPr>
        <w:t>May</w:t>
      </w:r>
      <w:r w:rsidR="00231728" w:rsidRPr="00231728">
        <w:rPr>
          <w:rFonts w:eastAsia="SimSun"/>
          <w:noProof w:val="0"/>
          <w:sz w:val="24"/>
          <w:szCs w:val="24"/>
          <w:lang w:eastAsia="zh-CN"/>
        </w:rPr>
        <w:t xml:space="preserve"> 2018</w:t>
      </w:r>
      <w:r w:rsidR="00364B41">
        <w:rPr>
          <w:rFonts w:eastAsia="SimSun"/>
          <w:noProof w:val="0"/>
          <w:sz w:val="24"/>
          <w:szCs w:val="24"/>
          <w:lang w:eastAsia="zh-CN"/>
        </w:rPr>
        <w:tab/>
      </w:r>
      <w:r w:rsidRPr="00D30449">
        <w:rPr>
          <w:rFonts w:eastAsia="SimSun"/>
          <w:b w:val="0"/>
          <w:noProof w:val="0"/>
          <w:sz w:val="16"/>
          <w:szCs w:val="16"/>
          <w:lang w:eastAsia="zh-CN"/>
        </w:rPr>
        <w:t>Revision of R2-1805637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15C727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7184">
        <w:rPr>
          <w:rFonts w:cs="Arial"/>
          <w:b/>
          <w:bCs/>
          <w:sz w:val="24"/>
          <w:lang w:eastAsia="ja-JP"/>
        </w:rPr>
        <w:t>10.4.1.4.1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3736BAE" w:rsidR="00CD4C7B" w:rsidRDefault="00036199"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677FF" w:rsidRPr="005677FF">
        <w:rPr>
          <w:rFonts w:ascii="Arial" w:hAnsi="Arial" w:cs="Arial"/>
          <w:b/>
          <w:bCs/>
          <w:sz w:val="24"/>
        </w:rPr>
        <w:t>On what does it mean to be a neighbour during A4 evaluation</w:t>
      </w:r>
      <w:r w:rsidR="0060289C">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95D18C6" w:rsidR="00CD4C7B" w:rsidRDefault="00636119" w:rsidP="00531528">
      <w:pPr>
        <w:jc w:val="both"/>
      </w:pPr>
      <w:r>
        <w:t xml:space="preserve">This paper is related to the issue E399 identified during NR ASN.1 review and subject to the further offline discussion (which did not happen, at least according to the </w:t>
      </w:r>
      <w:r w:rsidR="00320352">
        <w:t xml:space="preserve">3GPP RAN2#101 </w:t>
      </w:r>
      <w:r>
        <w:t xml:space="preserve">meeting minutes). </w:t>
      </w:r>
      <w:r w:rsidR="008F5C26">
        <w:t xml:space="preserve">This area has been also elaborated in Ericsson’s </w:t>
      </w:r>
      <w:r w:rsidR="008F5C26">
        <w:fldChar w:fldCharType="begin"/>
      </w:r>
      <w:r w:rsidR="008F5C26">
        <w:instrText xml:space="preserve"> REF _Ref510621212 \r \h </w:instrText>
      </w:r>
      <w:r w:rsidR="008F5C26">
        <w:fldChar w:fldCharType="separate"/>
      </w:r>
      <w:r w:rsidR="008F5C26">
        <w:t>[1]</w:t>
      </w:r>
      <w:r w:rsidR="008F5C26">
        <w:fldChar w:fldCharType="end"/>
      </w:r>
      <w:r w:rsidR="008F5C26">
        <w:t xml:space="preserve">, submitted to </w:t>
      </w:r>
      <w:r w:rsidR="008F5C26" w:rsidRPr="008F5C26">
        <w:t>3GPP TSG-RAN WG2 AH-1801</w:t>
      </w:r>
      <w:r w:rsidR="008F5C26">
        <w:t>.</w:t>
      </w:r>
      <w:r w:rsidR="00AB237E">
        <w:t xml:space="preserve"> Eventually, the topic has been treated during RAN2#101bis and resulted in the following agreement:</w:t>
      </w:r>
    </w:p>
    <w:tbl>
      <w:tblPr>
        <w:tblStyle w:val="TableGrid"/>
        <w:tblW w:w="0" w:type="auto"/>
        <w:tblLook w:val="04A0" w:firstRow="1" w:lastRow="0" w:firstColumn="1" w:lastColumn="0" w:noHBand="0" w:noVBand="1"/>
      </w:tblPr>
      <w:tblGrid>
        <w:gridCol w:w="9629"/>
      </w:tblGrid>
      <w:tr w:rsidR="0064303A" w14:paraId="17D200BB" w14:textId="77777777" w:rsidTr="0064303A">
        <w:tc>
          <w:tcPr>
            <w:tcW w:w="9629" w:type="dxa"/>
          </w:tcPr>
          <w:p w14:paraId="34ADD3E8" w14:textId="77777777" w:rsidR="0064303A" w:rsidRDefault="0064303A" w:rsidP="0064303A">
            <w:pPr>
              <w:pStyle w:val="Doc-text2"/>
              <w:ind w:left="0" w:firstLine="0"/>
            </w:pPr>
            <w:r>
              <w:t>R2-1806485</w:t>
            </w:r>
            <w:r>
              <w:tab/>
              <w:t>[Summary of Offline#37]</w:t>
            </w:r>
            <w:r>
              <w:tab/>
              <w:t>Ericsson</w:t>
            </w:r>
            <w:r>
              <w:tab/>
              <w:t>discussion</w:t>
            </w:r>
            <w:r>
              <w:tab/>
              <w:t>NR_newRAT-Core</w:t>
            </w:r>
          </w:p>
          <w:p w14:paraId="0BA744D3" w14:textId="77777777" w:rsidR="0064303A" w:rsidRDefault="0064303A" w:rsidP="0064303A">
            <w:pPr>
              <w:pStyle w:val="Doc-text2"/>
            </w:pPr>
            <w:r>
              <w:t>=&gt;</w:t>
            </w:r>
            <w:r>
              <w:tab/>
              <w:t xml:space="preserve">The ambiguity should not exist in the NR specs. </w:t>
            </w:r>
          </w:p>
          <w:p w14:paraId="724D3AB4" w14:textId="22C74AFF" w:rsidR="0064303A" w:rsidRPr="0064303A" w:rsidRDefault="0064303A" w:rsidP="0064303A">
            <w:pPr>
              <w:pStyle w:val="Doc-text2"/>
              <w:ind w:left="0" w:firstLine="0"/>
            </w:pPr>
            <w:r>
              <w:t xml:space="preserve">                       =</w:t>
            </w:r>
            <w:r w:rsidR="00E62EEE">
              <w:t>&gt; The</w:t>
            </w:r>
            <w:r>
              <w:t xml:space="preserve"> issue can be rediscussed at the next meeting</w:t>
            </w:r>
          </w:p>
        </w:tc>
      </w:tr>
    </w:tbl>
    <w:p w14:paraId="2F5DF9EA" w14:textId="6D86B1B4" w:rsidR="0064303A" w:rsidRPr="0069111F" w:rsidRDefault="0064303A" w:rsidP="00531528">
      <w:pPr>
        <w:jc w:val="both"/>
        <w:rPr>
          <w:lang w:val="en-US"/>
        </w:rPr>
      </w:pPr>
      <w:r>
        <w:rPr>
          <w:lang w:val="en-US"/>
        </w:rPr>
        <w:br/>
        <w:t xml:space="preserve">This paper proposes how it may be finally resolved. </w:t>
      </w:r>
    </w:p>
    <w:p w14:paraId="127ACA6D" w14:textId="0E8B9E06" w:rsidR="00CD4C7B" w:rsidRPr="004658F0" w:rsidRDefault="004658F0" w:rsidP="00CD4C7B">
      <w:pPr>
        <w:pStyle w:val="Heading1"/>
        <w:rPr>
          <w:lang w:val="en-US"/>
        </w:rPr>
      </w:pPr>
      <w:r w:rsidRPr="004658F0">
        <w:rPr>
          <w:lang w:val="en-US"/>
        </w:rPr>
        <w:t>2</w:t>
      </w:r>
      <w:r w:rsidRPr="004658F0">
        <w:rPr>
          <w:lang w:val="en-US"/>
        </w:rPr>
        <w:tab/>
        <w:t>Discussion</w:t>
      </w:r>
    </w:p>
    <w:p w14:paraId="740C65DE" w14:textId="7418FD89" w:rsidR="007D60EC" w:rsidRDefault="007D60EC" w:rsidP="00037184">
      <w:pPr>
        <w:rPr>
          <w:lang w:val="en-US"/>
        </w:rPr>
      </w:pPr>
      <w:r>
        <w:rPr>
          <w:lang w:val="en-US"/>
        </w:rPr>
        <w:t>The</w:t>
      </w:r>
      <w:r w:rsidR="008F5C26">
        <w:rPr>
          <w:lang w:val="en-US"/>
        </w:rPr>
        <w:t xml:space="preserve"> NR RRC </w:t>
      </w:r>
      <w:r w:rsidR="008F5C26" w:rsidRPr="008F5C26">
        <w:rPr>
          <w:lang w:val="en-US"/>
        </w:rPr>
        <w:t xml:space="preserve">specification </w:t>
      </w:r>
      <w:r w:rsidR="008F5C26" w:rsidRPr="008F5C26">
        <w:rPr>
          <w:lang w:val="en-US"/>
        </w:rPr>
        <w:fldChar w:fldCharType="begin"/>
      </w:r>
      <w:r w:rsidR="008F5C26" w:rsidRPr="008F5C26">
        <w:rPr>
          <w:lang w:val="en-US"/>
        </w:rPr>
        <w:instrText xml:space="preserve"> REF _Ref510621229 \r \h  \* MERGEFORMAT </w:instrText>
      </w:r>
      <w:r w:rsidR="008F5C26" w:rsidRPr="008F5C26">
        <w:rPr>
          <w:lang w:val="en-US"/>
        </w:rPr>
      </w:r>
      <w:r w:rsidR="008F5C26" w:rsidRPr="008F5C26">
        <w:rPr>
          <w:lang w:val="en-US"/>
        </w:rPr>
        <w:fldChar w:fldCharType="separate"/>
      </w:r>
      <w:r w:rsidR="008F5C26" w:rsidRPr="008F5C26">
        <w:rPr>
          <w:lang w:val="en-US"/>
        </w:rPr>
        <w:t>[2]</w:t>
      </w:r>
      <w:r w:rsidR="008F5C26" w:rsidRPr="008F5C26">
        <w:rPr>
          <w:lang w:val="en-US"/>
        </w:rPr>
        <w:fldChar w:fldCharType="end"/>
      </w:r>
      <w:r w:rsidR="008F5C26" w:rsidRPr="008F5C26">
        <w:rPr>
          <w:lang w:val="en-US"/>
        </w:rPr>
        <w:t xml:space="preserve"> </w:t>
      </w:r>
      <w:r w:rsidRPr="008F5C26">
        <w:rPr>
          <w:lang w:val="en-US"/>
        </w:rPr>
        <w:t>states</w:t>
      </w:r>
      <w:r>
        <w:rPr>
          <w:lang w:val="en-US"/>
        </w:rPr>
        <w:t xml:space="preserve"> the following:</w:t>
      </w:r>
    </w:p>
    <w:tbl>
      <w:tblPr>
        <w:tblStyle w:val="TableGrid"/>
        <w:tblW w:w="0" w:type="auto"/>
        <w:tblLook w:val="04A0" w:firstRow="1" w:lastRow="0" w:firstColumn="1" w:lastColumn="0" w:noHBand="0" w:noVBand="1"/>
      </w:tblPr>
      <w:tblGrid>
        <w:gridCol w:w="9629"/>
      </w:tblGrid>
      <w:tr w:rsidR="007D60EC" w14:paraId="6AA4A0F3" w14:textId="77777777" w:rsidTr="007D60EC">
        <w:tc>
          <w:tcPr>
            <w:tcW w:w="9629" w:type="dxa"/>
          </w:tcPr>
          <w:p w14:paraId="48BF78DF" w14:textId="77777777" w:rsidR="007D60EC" w:rsidRPr="00F35584" w:rsidRDefault="007D60EC" w:rsidP="007D60EC">
            <w:pPr>
              <w:pStyle w:val="Heading4"/>
            </w:pPr>
            <w:bookmarkStart w:id="0" w:name="_Toc510018532"/>
            <w:r w:rsidRPr="00F35584">
              <w:t>5.5.4.1</w:t>
            </w:r>
            <w:r w:rsidRPr="00F35584">
              <w:tab/>
              <w:t>General</w:t>
            </w:r>
            <w:bookmarkEnd w:id="0"/>
          </w:p>
          <w:p w14:paraId="748CE0BE" w14:textId="77777777" w:rsidR="007D60EC" w:rsidRPr="00F35584" w:rsidRDefault="007D60EC" w:rsidP="007D60EC">
            <w:bookmarkStart w:id="1" w:name="_Hlk498694844"/>
            <w:r w:rsidRPr="00F35584">
              <w:t xml:space="preserve">If security has been activated successfully, the </w:t>
            </w:r>
            <w:bookmarkEnd w:id="1"/>
            <w:r w:rsidRPr="00F35584">
              <w:t>UE shall:</w:t>
            </w:r>
          </w:p>
          <w:p w14:paraId="5B96E224" w14:textId="77777777" w:rsidR="007D60EC" w:rsidRPr="00F35584" w:rsidRDefault="007D60EC" w:rsidP="007D60EC">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466E6881" w14:textId="77777777" w:rsidR="007D60EC" w:rsidRPr="00F35584" w:rsidRDefault="007D60EC" w:rsidP="007D60EC">
            <w:pPr>
              <w:pStyle w:val="B2"/>
            </w:pPr>
            <w:r w:rsidRPr="00F35584">
              <w:t>2&gt;</w:t>
            </w:r>
            <w:r w:rsidRPr="00F35584">
              <w:tab/>
              <w:t xml:space="preserve">if the corresponding </w:t>
            </w:r>
            <w:r w:rsidRPr="00F35584">
              <w:rPr>
                <w:i/>
              </w:rPr>
              <w:t>reportConfig</w:t>
            </w:r>
            <w:r w:rsidRPr="00F35584">
              <w:t xml:space="preserve">includes a </w:t>
            </w:r>
            <w:r w:rsidRPr="00F35584">
              <w:rPr>
                <w:i/>
              </w:rPr>
              <w:t>reportType</w:t>
            </w:r>
            <w:r w:rsidRPr="00F35584">
              <w:t xml:space="preserve"> set to </w:t>
            </w:r>
            <w:r w:rsidRPr="00F35584">
              <w:rPr>
                <w:i/>
              </w:rPr>
              <w:t>eventTriggered</w:t>
            </w:r>
            <w:r w:rsidRPr="00F35584">
              <w:t xml:space="preserve"> or </w:t>
            </w:r>
            <w:r w:rsidRPr="00F35584">
              <w:rPr>
                <w:i/>
              </w:rPr>
              <w:t>periodical</w:t>
            </w:r>
            <w:r w:rsidRPr="00F35584">
              <w:t>;</w:t>
            </w:r>
          </w:p>
          <w:p w14:paraId="14ABE625" w14:textId="77777777" w:rsidR="007D60EC" w:rsidRPr="00F35584" w:rsidRDefault="007D60EC" w:rsidP="007D60EC">
            <w:pPr>
              <w:pStyle w:val="B3"/>
            </w:pPr>
            <w:r w:rsidRPr="00F35584">
              <w:t>3&gt;</w:t>
            </w:r>
            <w:r w:rsidRPr="00F35584">
              <w:tab/>
              <w:t xml:space="preserve">if the corresponding </w:t>
            </w:r>
            <w:r w:rsidRPr="00F35584">
              <w:rPr>
                <w:i/>
              </w:rPr>
              <w:t>measObject</w:t>
            </w:r>
            <w:r w:rsidRPr="00F35584">
              <w:t xml:space="preserve"> concerns NR;</w:t>
            </w:r>
          </w:p>
          <w:p w14:paraId="21A8E5A5" w14:textId="77777777" w:rsidR="007D60EC" w:rsidRPr="00F35584" w:rsidRDefault="007D60EC" w:rsidP="007D60EC">
            <w:pPr>
              <w:pStyle w:val="B4"/>
            </w:pPr>
            <w:r w:rsidRPr="00F35584">
              <w:t>4&gt;</w:t>
            </w:r>
            <w:r w:rsidRPr="00F35584">
              <w:tab/>
              <w:t xml:space="preserve">if the </w:t>
            </w:r>
            <w:r w:rsidRPr="00F35584">
              <w:rPr>
                <w:i/>
                <w:iCs/>
              </w:rPr>
              <w:t>eventA1</w:t>
            </w:r>
            <w:r w:rsidRPr="00F35584">
              <w:t xml:space="preserve"> or </w:t>
            </w:r>
            <w:r w:rsidRPr="00F35584">
              <w:rPr>
                <w:i/>
                <w:iCs/>
              </w:rPr>
              <w:t>eventA2</w:t>
            </w:r>
            <w:r w:rsidRPr="00F35584">
              <w:t xml:space="preserve"> is configured in the corresponding </w:t>
            </w:r>
            <w:r w:rsidRPr="00F35584">
              <w:rPr>
                <w:i/>
              </w:rPr>
              <w:t>reportConfig</w:t>
            </w:r>
            <w:r w:rsidRPr="00F35584">
              <w:t>:</w:t>
            </w:r>
          </w:p>
          <w:p w14:paraId="677EBA5D" w14:textId="77777777" w:rsidR="007D60EC" w:rsidRPr="00F35584" w:rsidRDefault="007D60EC" w:rsidP="007D60EC">
            <w:pPr>
              <w:pStyle w:val="B5"/>
            </w:pPr>
            <w:r w:rsidRPr="00F35584">
              <w:t>5&gt;</w:t>
            </w:r>
            <w:r w:rsidRPr="00F35584">
              <w:tab/>
              <w:t>consider only the serving cell to be applicable;</w:t>
            </w:r>
          </w:p>
          <w:p w14:paraId="03C0704F" w14:textId="77777777" w:rsidR="007D60EC" w:rsidRPr="00F35584" w:rsidRDefault="007D60EC" w:rsidP="007D60EC">
            <w:pPr>
              <w:pStyle w:val="B4"/>
            </w:pPr>
            <w:r w:rsidRPr="00F35584">
              <w:t>4&gt;</w:t>
            </w:r>
            <w:r w:rsidRPr="00F35584">
              <w:tab/>
              <w:t>else:</w:t>
            </w:r>
          </w:p>
          <w:p w14:paraId="1A6DFD28" w14:textId="77777777" w:rsidR="007D60EC" w:rsidRDefault="007D60EC" w:rsidP="007D60EC">
            <w:pPr>
              <w:pStyle w:val="B5"/>
            </w:pPr>
            <w:r w:rsidRPr="00F35584">
              <w:t>5</w:t>
            </w:r>
            <w:r w:rsidRPr="007D60EC">
              <w:rPr>
                <w:highlight w:val="yellow"/>
              </w:rPr>
              <w:t>&gt;</w:t>
            </w:r>
            <w:r w:rsidRPr="007D60EC">
              <w:rPr>
                <w:highlight w:val="yellow"/>
              </w:rPr>
              <w:tab/>
              <w:t>for events involving a serving cell on one frequency and neighbours on another frequency, consider any serving cell on the other frequency to be a neighbouring cell as well;</w:t>
            </w:r>
          </w:p>
          <w:p w14:paraId="4BFE0222" w14:textId="2326C4B0" w:rsidR="007D60EC" w:rsidRPr="007D60EC" w:rsidRDefault="007D60EC" w:rsidP="007D60EC">
            <w:pPr>
              <w:pStyle w:val="B5"/>
            </w:pPr>
            <w:r w:rsidRPr="007D60EC">
              <w:rPr>
                <w:color w:val="FF0000"/>
              </w:rPr>
              <w:t>&lt;text omitted&gt;</w:t>
            </w:r>
          </w:p>
        </w:tc>
      </w:tr>
    </w:tbl>
    <w:p w14:paraId="2095F310" w14:textId="72861CED" w:rsidR="002C62C5" w:rsidRPr="00F53758" w:rsidRDefault="00C55378" w:rsidP="007A2423">
      <w:pPr>
        <w:tabs>
          <w:tab w:val="left" w:pos="7200"/>
        </w:tabs>
        <w:jc w:val="both"/>
        <w:rPr>
          <w:lang w:val="en-US"/>
        </w:rPr>
      </w:pPr>
      <w:r>
        <w:rPr>
          <w:lang w:val="en-US"/>
        </w:rPr>
        <w:br/>
      </w:r>
      <w:r w:rsidR="007A2423">
        <w:rPr>
          <w:lang w:val="en-US"/>
        </w:rPr>
        <w:t xml:space="preserve">A similar text can be also found in LTE RRC specification </w:t>
      </w:r>
      <w:r w:rsidR="007A2423">
        <w:rPr>
          <w:lang w:val="en-US"/>
        </w:rPr>
        <w:fldChar w:fldCharType="begin"/>
      </w:r>
      <w:r w:rsidR="007A2423">
        <w:rPr>
          <w:lang w:val="en-US"/>
        </w:rPr>
        <w:instrText xml:space="preserve"> REF _Ref510621521 \r \h </w:instrText>
      </w:r>
      <w:r w:rsidR="007A2423">
        <w:rPr>
          <w:lang w:val="en-US"/>
        </w:rPr>
      </w:r>
      <w:r w:rsidR="007A2423">
        <w:rPr>
          <w:lang w:val="en-US"/>
        </w:rPr>
        <w:fldChar w:fldCharType="separate"/>
      </w:r>
      <w:r w:rsidR="007A2423">
        <w:rPr>
          <w:lang w:val="en-US"/>
        </w:rPr>
        <w:t>[3]</w:t>
      </w:r>
      <w:r w:rsidR="007A2423">
        <w:rPr>
          <w:lang w:val="en-US"/>
        </w:rPr>
        <w:fldChar w:fldCharType="end"/>
      </w:r>
      <w:r w:rsidR="007A2423">
        <w:rPr>
          <w:lang w:val="en-US"/>
        </w:rPr>
        <w:t>, so this behavior appears to be a simple copy and paste from the predecessor</w:t>
      </w:r>
      <w:r w:rsidR="00A71B22">
        <w:rPr>
          <w:lang w:val="en-US"/>
        </w:rPr>
        <w:t xml:space="preserve"> technology</w:t>
      </w:r>
      <w:r w:rsidR="007A2423">
        <w:rPr>
          <w:lang w:val="en-US"/>
        </w:rPr>
        <w:t>.</w:t>
      </w:r>
      <w:r w:rsidR="00E85EC0">
        <w:rPr>
          <w:lang w:val="en-US"/>
        </w:rPr>
        <w:t xml:space="preserve"> The initial discussion on this subject dates back nearly to the Middle Ages and can be e.g. found in Proposal 5 of </w:t>
      </w:r>
      <w:r w:rsidR="00E85EC0">
        <w:rPr>
          <w:lang w:val="en-US"/>
        </w:rPr>
        <w:fldChar w:fldCharType="begin"/>
      </w:r>
      <w:r w:rsidR="00E85EC0">
        <w:rPr>
          <w:lang w:val="en-US"/>
        </w:rPr>
        <w:instrText xml:space="preserve"> REF _Ref510716219 \r \h </w:instrText>
      </w:r>
      <w:r w:rsidR="00E85EC0">
        <w:rPr>
          <w:lang w:val="en-US"/>
        </w:rPr>
      </w:r>
      <w:r w:rsidR="00E85EC0">
        <w:rPr>
          <w:lang w:val="en-US"/>
        </w:rPr>
        <w:fldChar w:fldCharType="separate"/>
      </w:r>
      <w:r w:rsidR="00E85EC0">
        <w:rPr>
          <w:lang w:val="en-US"/>
        </w:rPr>
        <w:t>[4]</w:t>
      </w:r>
      <w:r w:rsidR="00E85EC0">
        <w:rPr>
          <w:lang w:val="en-US"/>
        </w:rPr>
        <w:fldChar w:fldCharType="end"/>
      </w:r>
      <w:r w:rsidR="00E85EC0">
        <w:rPr>
          <w:lang w:val="en-US"/>
        </w:rPr>
        <w:t>, discussed at RAN2#72 (Rel-10 Carrier Aggregation consideration</w:t>
      </w:r>
      <w:r w:rsidR="008975AD">
        <w:rPr>
          <w:lang w:val="en-US"/>
        </w:rPr>
        <w:t>s</w:t>
      </w:r>
      <w:r w:rsidR="00E85EC0">
        <w:rPr>
          <w:lang w:val="en-US"/>
        </w:rPr>
        <w:t>).</w:t>
      </w:r>
      <w:r w:rsidR="007A2423">
        <w:rPr>
          <w:lang w:val="en-US"/>
        </w:rPr>
        <w:t xml:space="preserve"> </w:t>
      </w:r>
      <w:r w:rsidR="00E85EC0">
        <w:rPr>
          <w:lang w:val="en-US"/>
        </w:rPr>
        <w:t>Anyway, o</w:t>
      </w:r>
      <w:r w:rsidR="007A2423">
        <w:rPr>
          <w:lang w:val="en-US"/>
        </w:rPr>
        <w:t>ne has to consider whether this behavior is indeed clear</w:t>
      </w:r>
      <w:r w:rsidR="00E85EC0">
        <w:rPr>
          <w:lang w:val="en-US"/>
        </w:rPr>
        <w:t>ly understood</w:t>
      </w:r>
      <w:r w:rsidR="007A2423">
        <w:rPr>
          <w:lang w:val="en-US"/>
        </w:rPr>
        <w:t xml:space="preserve"> and useful</w:t>
      </w:r>
      <w:r w:rsidR="00E85EC0">
        <w:rPr>
          <w:lang w:val="en-US"/>
        </w:rPr>
        <w:t xml:space="preserve"> in practical deployments</w:t>
      </w:r>
      <w:r w:rsidR="007A2423">
        <w:rPr>
          <w:lang w:val="en-US"/>
        </w:rPr>
        <w:t xml:space="preserve">. </w:t>
      </w:r>
    </w:p>
    <w:p w14:paraId="5A7E381B" w14:textId="42A1639C" w:rsidR="00CD4C7B" w:rsidRPr="0069111F" w:rsidRDefault="004658F0" w:rsidP="00CD4C7B">
      <w:pPr>
        <w:pStyle w:val="Heading2"/>
        <w:rPr>
          <w:lang w:val="en-US"/>
        </w:rPr>
      </w:pPr>
      <w:r w:rsidRPr="0069111F">
        <w:rPr>
          <w:lang w:val="en-US"/>
        </w:rPr>
        <w:lastRenderedPageBreak/>
        <w:t>2</w:t>
      </w:r>
      <w:r w:rsidR="00037184">
        <w:rPr>
          <w:lang w:val="en-US"/>
        </w:rPr>
        <w:t>.1</w:t>
      </w:r>
      <w:r w:rsidR="00EB18A1" w:rsidRPr="0069111F">
        <w:rPr>
          <w:lang w:val="en-US"/>
        </w:rPr>
        <w:tab/>
      </w:r>
      <w:r w:rsidR="00D630C5">
        <w:rPr>
          <w:lang w:val="en-US"/>
        </w:rPr>
        <w:t>The relationship between A1 and A4 events</w:t>
      </w:r>
    </w:p>
    <w:p w14:paraId="559214E0" w14:textId="7E1247A2" w:rsidR="00481333" w:rsidRDefault="00320352" w:rsidP="00D630C5">
      <w:pPr>
        <w:jc w:val="both"/>
        <w:rPr>
          <w:lang w:val="en-US"/>
        </w:rPr>
      </w:pPr>
      <w:r>
        <w:rPr>
          <w:lang w:val="en-US"/>
        </w:rPr>
        <w:t>As commented several times by Ericsson and reflected in their</w:t>
      </w:r>
      <w:r w:rsidR="00A84367">
        <w:rPr>
          <w:lang w:val="en-US"/>
        </w:rPr>
        <w:t xml:space="preserve"> </w:t>
      </w:r>
      <w:r w:rsidR="00A84367">
        <w:rPr>
          <w:lang w:val="en-US"/>
        </w:rPr>
        <w:fldChar w:fldCharType="begin"/>
      </w:r>
      <w:r w:rsidR="00A84367">
        <w:rPr>
          <w:lang w:val="en-US"/>
        </w:rPr>
        <w:instrText xml:space="preserve"> REF _Ref510621212 \r \h </w:instrText>
      </w:r>
      <w:r w:rsidR="00A84367">
        <w:rPr>
          <w:lang w:val="en-US"/>
        </w:rPr>
      </w:r>
      <w:r w:rsidR="00A84367">
        <w:rPr>
          <w:lang w:val="en-US"/>
        </w:rPr>
        <w:fldChar w:fldCharType="separate"/>
      </w:r>
      <w:r w:rsidR="00A84367">
        <w:rPr>
          <w:lang w:val="en-US"/>
        </w:rPr>
        <w:t>[1]</w:t>
      </w:r>
      <w:r w:rsidR="00A84367">
        <w:rPr>
          <w:lang w:val="en-US"/>
        </w:rPr>
        <w:fldChar w:fldCharType="end"/>
      </w:r>
      <w:r w:rsidR="00A84367">
        <w:rPr>
          <w:lang w:val="en-US"/>
        </w:rPr>
        <w:t>, a desired behavior would be to “interpret</w:t>
      </w:r>
      <w:r w:rsidR="00A84367" w:rsidRPr="00A84367">
        <w:rPr>
          <w:lang w:val="en-US"/>
        </w:rPr>
        <w:t xml:space="preserve"> neighbouring cell as any cell that is not</w:t>
      </w:r>
      <w:r w:rsidR="00A84367">
        <w:rPr>
          <w:lang w:val="en-US"/>
        </w:rPr>
        <w:t xml:space="preserve"> the PCell for Event A4”. The authors claim this is desired for the purpose of, e.g. load balancing.</w:t>
      </w:r>
      <w:r w:rsidR="009330AC">
        <w:rPr>
          <w:lang w:val="en-US"/>
        </w:rPr>
        <w:t xml:space="preserve"> However, it appears that a clearer and simpler solution already exists </w:t>
      </w:r>
      <w:r w:rsidR="008975AD">
        <w:rPr>
          <w:lang w:val="en-US"/>
        </w:rPr>
        <w:t>and it is called “</w:t>
      </w:r>
      <w:r w:rsidR="009330AC">
        <w:rPr>
          <w:lang w:val="en-US"/>
        </w:rPr>
        <w:t>A1 event</w:t>
      </w:r>
      <w:r w:rsidR="008975AD">
        <w:rPr>
          <w:lang w:val="en-US"/>
        </w:rPr>
        <w:t>”</w:t>
      </w:r>
      <w:r w:rsidR="009330AC">
        <w:rPr>
          <w:lang w:val="en-US"/>
        </w:rPr>
        <w:t xml:space="preserve"> (“</w:t>
      </w:r>
      <w:r w:rsidR="009330AC" w:rsidRPr="00F35584">
        <w:t>Serving becomes better than threshold</w:t>
      </w:r>
      <w:r w:rsidR="009330AC">
        <w:rPr>
          <w:lang w:val="en-US"/>
        </w:rPr>
        <w:t xml:space="preserve">”). In this case “serving” applies to </w:t>
      </w:r>
      <w:r w:rsidR="008C1039">
        <w:rPr>
          <w:lang w:val="en-US"/>
        </w:rPr>
        <w:t xml:space="preserve">PCell, PSCell and any of the SCells, as those are naturally the serving cells. If there is a need to configure an event </w:t>
      </w:r>
      <w:r w:rsidR="00F138C4">
        <w:rPr>
          <w:lang w:val="en-US"/>
        </w:rPr>
        <w:t>which would evaluate any of the</w:t>
      </w:r>
      <w:r w:rsidR="008C1039">
        <w:rPr>
          <w:lang w:val="en-US"/>
        </w:rPr>
        <w:t xml:space="preserve"> serving cells on other carriers than a</w:t>
      </w:r>
      <w:r w:rsidR="00F138C4">
        <w:rPr>
          <w:lang w:val="en-US"/>
        </w:rPr>
        <w:t xml:space="preserve"> PCell, event A1 </w:t>
      </w:r>
      <w:r w:rsidR="00056ED7">
        <w:rPr>
          <w:lang w:val="en-US"/>
        </w:rPr>
        <w:t>(</w:t>
      </w:r>
      <w:r w:rsidR="00F138C4">
        <w:rPr>
          <w:lang w:val="en-US"/>
        </w:rPr>
        <w:t>or A2</w:t>
      </w:r>
      <w:r w:rsidR="00056ED7">
        <w:rPr>
          <w:lang w:val="en-US"/>
        </w:rPr>
        <w:t>)</w:t>
      </w:r>
      <w:r w:rsidR="00F138C4">
        <w:rPr>
          <w:lang w:val="en-US"/>
        </w:rPr>
        <w:t xml:space="preserve"> can be used. It should be noted that the interpretation of “neighbo</w:t>
      </w:r>
      <w:r w:rsidR="00481333">
        <w:rPr>
          <w:lang w:val="en-US"/>
        </w:rPr>
        <w:t>u</w:t>
      </w:r>
      <w:r w:rsidR="00F138C4">
        <w:rPr>
          <w:lang w:val="en-US"/>
        </w:rPr>
        <w:t>r” in case of A4</w:t>
      </w:r>
      <w:r w:rsidR="00481333">
        <w:rPr>
          <w:lang w:val="en-US"/>
        </w:rPr>
        <w:t xml:space="preserve"> (“</w:t>
      </w:r>
      <w:r w:rsidR="00481333" w:rsidRPr="00F35584">
        <w:t>Neighbour becomes better than threshold</w:t>
      </w:r>
      <w:r w:rsidR="00481333">
        <w:rPr>
          <w:lang w:val="en-US"/>
        </w:rPr>
        <w:t>”)</w:t>
      </w:r>
      <w:r w:rsidR="00F138C4">
        <w:rPr>
          <w:lang w:val="en-US"/>
        </w:rPr>
        <w:t xml:space="preserve"> as: “any cell apart from the PCell” results in the </w:t>
      </w:r>
      <w:r w:rsidR="00481333">
        <w:rPr>
          <w:lang w:val="en-US"/>
        </w:rPr>
        <w:t>lack of orthogonality between A1 and A4 (i.e. A4 in fact operates as if it was A1).</w:t>
      </w:r>
    </w:p>
    <w:p w14:paraId="233A560D" w14:textId="3AE6CF16" w:rsidR="00BB1B03" w:rsidRDefault="00BB1B03" w:rsidP="00BB1B03">
      <w:pPr>
        <w:pStyle w:val="ListParagraph"/>
        <w:numPr>
          <w:ilvl w:val="0"/>
          <w:numId w:val="7"/>
        </w:numPr>
        <w:jc w:val="both"/>
        <w:rPr>
          <w:b/>
          <w:lang w:val="en-US"/>
        </w:rPr>
      </w:pPr>
      <w:bookmarkStart w:id="2" w:name="_Ref510627155"/>
      <w:r w:rsidRPr="00BB1B03">
        <w:rPr>
          <w:b/>
          <w:lang w:val="en-US"/>
        </w:rPr>
        <w:t>Interpreting “neighbo</w:t>
      </w:r>
      <w:r w:rsidR="006F6957">
        <w:rPr>
          <w:b/>
          <w:lang w:val="en-US"/>
        </w:rPr>
        <w:t>u</w:t>
      </w:r>
      <w:r w:rsidRPr="00BB1B03">
        <w:rPr>
          <w:b/>
          <w:lang w:val="en-US"/>
        </w:rPr>
        <w:t>r” as any cell apart from a PCell leads to the lack of orthogonali</w:t>
      </w:r>
      <w:r w:rsidR="00116448">
        <w:rPr>
          <w:b/>
          <w:lang w:val="en-US"/>
        </w:rPr>
        <w:t>ty between A1 and A4 events. The</w:t>
      </w:r>
      <w:r w:rsidRPr="00BB1B03">
        <w:rPr>
          <w:b/>
          <w:lang w:val="en-US"/>
        </w:rPr>
        <w:t xml:space="preserve"> overlap be</w:t>
      </w:r>
      <w:r w:rsidR="00E51703">
        <w:rPr>
          <w:b/>
          <w:lang w:val="en-US"/>
        </w:rPr>
        <w:t>tween those events (i.e. PSCell</w:t>
      </w:r>
      <w:r w:rsidRPr="00BB1B03">
        <w:rPr>
          <w:b/>
          <w:lang w:val="en-US"/>
        </w:rPr>
        <w:t xml:space="preserve"> or SCell triggering A4) should be justified.</w:t>
      </w:r>
      <w:bookmarkEnd w:id="2"/>
    </w:p>
    <w:p w14:paraId="43A364D2" w14:textId="6E5FA05B" w:rsidR="008975AD" w:rsidRDefault="008975AD" w:rsidP="006A0AC1">
      <w:pPr>
        <w:pStyle w:val="ListParagraph"/>
        <w:ind w:left="0"/>
        <w:jc w:val="both"/>
        <w:rPr>
          <w:b/>
          <w:lang w:val="en-US"/>
        </w:rPr>
      </w:pPr>
    </w:p>
    <w:p w14:paraId="6597BB9E" w14:textId="7994EF25" w:rsidR="008975AD" w:rsidRPr="006A0AC1" w:rsidRDefault="008975AD" w:rsidP="006A0AC1">
      <w:pPr>
        <w:pStyle w:val="ListParagraph"/>
        <w:ind w:left="0"/>
        <w:jc w:val="both"/>
        <w:rPr>
          <w:lang w:val="en-US"/>
        </w:rPr>
      </w:pPr>
      <w:r w:rsidRPr="006A0AC1">
        <w:rPr>
          <w:lang w:val="en-US"/>
        </w:rPr>
        <w:t xml:space="preserve">On the other hand, </w:t>
      </w:r>
      <w:r>
        <w:rPr>
          <w:lang w:val="en-US"/>
        </w:rPr>
        <w:t xml:space="preserve">we acknowledge there may be cases, where A4 reporting (with SCells interpreted as neighbours) would do the job for the combined A1 + A4 (where SCell is not a neighbour). The key question is whether those use cases are sufficiently </w:t>
      </w:r>
      <w:r w:rsidR="006A0AC1">
        <w:rPr>
          <w:lang w:val="en-US"/>
        </w:rPr>
        <w:t>grounded</w:t>
      </w:r>
      <w:r>
        <w:rPr>
          <w:lang w:val="en-US"/>
        </w:rPr>
        <w:t xml:space="preserve"> to widely adopt such interpretation in the 3GPP specifications.</w:t>
      </w:r>
    </w:p>
    <w:p w14:paraId="55A1BD61" w14:textId="2025113E" w:rsidR="00BB1B03" w:rsidRPr="0069111F" w:rsidRDefault="00BB1B03" w:rsidP="00BB1B03">
      <w:pPr>
        <w:pStyle w:val="Heading2"/>
        <w:rPr>
          <w:lang w:val="en-US"/>
        </w:rPr>
      </w:pPr>
      <w:r w:rsidRPr="0069111F">
        <w:rPr>
          <w:lang w:val="en-US"/>
        </w:rPr>
        <w:t>2</w:t>
      </w:r>
      <w:r>
        <w:rPr>
          <w:lang w:val="en-US"/>
        </w:rPr>
        <w:t>.2</w:t>
      </w:r>
      <w:r w:rsidRPr="0069111F">
        <w:rPr>
          <w:lang w:val="en-US"/>
        </w:rPr>
        <w:tab/>
      </w:r>
      <w:r w:rsidR="009F00DE">
        <w:rPr>
          <w:lang w:val="en-US"/>
        </w:rPr>
        <w:t>The applicability to particular events</w:t>
      </w:r>
    </w:p>
    <w:p w14:paraId="1C93AD44" w14:textId="63B91109" w:rsidR="00531528" w:rsidRDefault="00116448" w:rsidP="00BB1B03">
      <w:pPr>
        <w:jc w:val="both"/>
        <w:rPr>
          <w:lang w:val="en-US"/>
        </w:rPr>
      </w:pPr>
      <w:r>
        <w:rPr>
          <w:lang w:val="en-US"/>
        </w:rPr>
        <w:t>A sepa</w:t>
      </w:r>
      <w:r w:rsidR="0017719A">
        <w:rPr>
          <w:lang w:val="en-US"/>
        </w:rPr>
        <w:t>rate, somewhat</w:t>
      </w:r>
      <w:r>
        <w:rPr>
          <w:lang w:val="en-US"/>
        </w:rPr>
        <w:t xml:space="preserve"> editorial issue, is whether the </w:t>
      </w:r>
      <w:r w:rsidRPr="006A0AC1">
        <w:rPr>
          <w:lang w:val="en-US"/>
        </w:rPr>
        <w:t>highlighted</w:t>
      </w:r>
      <w:r>
        <w:rPr>
          <w:lang w:val="en-US"/>
        </w:rPr>
        <w:t xml:space="preserve"> part</w:t>
      </w:r>
      <w:r w:rsidR="0017719A">
        <w:rPr>
          <w:lang w:val="en-US"/>
        </w:rPr>
        <w:t xml:space="preserve"> (if kept) </w:t>
      </w:r>
      <w:r>
        <w:rPr>
          <w:lang w:val="en-US"/>
        </w:rPr>
        <w:t>in section 2</w:t>
      </w:r>
      <w:r w:rsidR="0017719A">
        <w:rPr>
          <w:lang w:val="en-US"/>
        </w:rPr>
        <w:t xml:space="preserve"> </w:t>
      </w:r>
      <w:r>
        <w:rPr>
          <w:lang w:val="en-US"/>
        </w:rPr>
        <w:t xml:space="preserve">shall be a part of </w:t>
      </w:r>
      <w:r w:rsidR="0017719A">
        <w:rPr>
          <w:lang w:val="en-US"/>
        </w:rPr>
        <w:t xml:space="preserve">“5.5.4.1 </w:t>
      </w:r>
      <w:r w:rsidR="0017719A" w:rsidRPr="0017719A">
        <w:rPr>
          <w:lang w:val="en-US"/>
        </w:rPr>
        <w:t>General</w:t>
      </w:r>
      <w:r w:rsidR="0017719A">
        <w:rPr>
          <w:lang w:val="en-US"/>
        </w:rPr>
        <w:t>” or rather moved to the concerned events. With the current structure, it is not fully clear which events are applicable to this statement</w:t>
      </w:r>
      <w:r w:rsidR="009F00DE">
        <w:rPr>
          <w:lang w:val="en-US"/>
        </w:rPr>
        <w:t xml:space="preserve">. Shall it be interpreted as all, </w:t>
      </w:r>
      <w:r w:rsidR="0017719A">
        <w:rPr>
          <w:lang w:val="en-US"/>
        </w:rPr>
        <w:t>besid</w:t>
      </w:r>
      <w:r w:rsidR="009F00DE">
        <w:rPr>
          <w:lang w:val="en-US"/>
        </w:rPr>
        <w:t>es A1 and A2?</w:t>
      </w:r>
      <w:r w:rsidR="0017719A">
        <w:rPr>
          <w:lang w:val="en-US"/>
        </w:rPr>
        <w:t xml:space="preserve"> </w:t>
      </w:r>
      <w:r w:rsidR="009F00DE">
        <w:rPr>
          <w:lang w:val="en-US"/>
        </w:rPr>
        <w:t>Perhaps this sort of statement could be inserted into each of the concerned events separately and event names plus associated descriptions should be updated, as now there appears to be a misalignment betw</w:t>
      </w:r>
      <w:r w:rsidR="006F6957">
        <w:rPr>
          <w:lang w:val="en-US"/>
        </w:rPr>
        <w:t>een what is provided in “5.5.4.1</w:t>
      </w:r>
      <w:r w:rsidR="009F00DE">
        <w:rPr>
          <w:lang w:val="en-US"/>
        </w:rPr>
        <w:t xml:space="preserve"> General” and within each of those events</w:t>
      </w:r>
      <w:r w:rsidR="006F6957">
        <w:rPr>
          <w:lang w:val="en-US"/>
        </w:rPr>
        <w:t>, for example</w:t>
      </w:r>
      <w:r w:rsidR="009F00DE">
        <w:rPr>
          <w:lang w:val="en-US"/>
        </w:rPr>
        <w:t xml:space="preserve">: </w:t>
      </w:r>
    </w:p>
    <w:tbl>
      <w:tblPr>
        <w:tblStyle w:val="TableGrid"/>
        <w:tblW w:w="0" w:type="auto"/>
        <w:tblLook w:val="04A0" w:firstRow="1" w:lastRow="0" w:firstColumn="1" w:lastColumn="0" w:noHBand="0" w:noVBand="1"/>
      </w:tblPr>
      <w:tblGrid>
        <w:gridCol w:w="9629"/>
      </w:tblGrid>
      <w:tr w:rsidR="005362C7" w14:paraId="368EB934" w14:textId="77777777" w:rsidTr="005362C7">
        <w:tc>
          <w:tcPr>
            <w:tcW w:w="9629" w:type="dxa"/>
          </w:tcPr>
          <w:p w14:paraId="68F2680D" w14:textId="4A7BD591" w:rsidR="005362C7" w:rsidRPr="005362C7" w:rsidRDefault="005362C7" w:rsidP="005362C7">
            <w:pPr>
              <w:pStyle w:val="Heading4"/>
            </w:pPr>
            <w:bookmarkStart w:id="3" w:name="_Toc510018535"/>
            <w:r w:rsidRPr="00F35584">
              <w:t>5.5.4.4</w:t>
            </w:r>
            <w:r w:rsidRPr="00F35584">
              <w:tab/>
            </w:r>
            <w:bookmarkStart w:id="4" w:name="_Hlk510626401"/>
            <w:r w:rsidRPr="00F35584">
              <w:t>Event A3 (</w:t>
            </w:r>
            <w:r w:rsidRPr="005362C7">
              <w:rPr>
                <w:highlight w:val="yellow"/>
              </w:rPr>
              <w:t>Neighbour</w:t>
            </w:r>
            <w:r w:rsidRPr="00F35584">
              <w:t xml:space="preserve"> becomes offset better than </w:t>
            </w:r>
            <w:r w:rsidRPr="005362C7">
              <w:rPr>
                <w:highlight w:val="yellow"/>
              </w:rPr>
              <w:t>SpCell</w:t>
            </w:r>
            <w:r w:rsidRPr="00F35584">
              <w:t>)</w:t>
            </w:r>
            <w:bookmarkEnd w:id="3"/>
            <w:bookmarkEnd w:id="4"/>
          </w:p>
        </w:tc>
      </w:tr>
    </w:tbl>
    <w:p w14:paraId="24F72EC7" w14:textId="0D211E83" w:rsidR="009F00DE" w:rsidRDefault="005D6449" w:rsidP="00BB1B03">
      <w:pPr>
        <w:jc w:val="both"/>
      </w:pPr>
      <w:r>
        <w:rPr>
          <w:lang w:val="en-US"/>
        </w:rPr>
        <w:br/>
      </w:r>
      <w:r w:rsidR="005362C7">
        <w:t>While, according to the statement in 5.5.4.1, “Neigbour” can be also one of the “</w:t>
      </w:r>
      <w:r w:rsidR="00A71B22">
        <w:t>SpCells” …</w:t>
      </w:r>
    </w:p>
    <w:p w14:paraId="17625096" w14:textId="3D43012D" w:rsidR="002B4E3E" w:rsidRPr="005D6449" w:rsidRDefault="002B4E3E" w:rsidP="002B4E3E">
      <w:pPr>
        <w:pStyle w:val="ListParagraph"/>
        <w:numPr>
          <w:ilvl w:val="0"/>
          <w:numId w:val="7"/>
        </w:numPr>
        <w:jc w:val="both"/>
        <w:rPr>
          <w:b/>
        </w:rPr>
      </w:pPr>
      <w:bookmarkStart w:id="5" w:name="_Ref510627168"/>
      <w:r w:rsidRPr="005D6449">
        <w:rPr>
          <w:b/>
        </w:rPr>
        <w:t>The current structure of section 5.5.4.x can cause confusion with respect to which events are applicable to the statement on how to interpret “neighbours”, especially as the event descriptions do not logically match the concerned subclause from 5.5.4.1.</w:t>
      </w:r>
      <w:bookmarkEnd w:id="5"/>
    </w:p>
    <w:p w14:paraId="4E90DD36" w14:textId="715BC7A6" w:rsidR="002B4E3E" w:rsidRDefault="002B4E3E" w:rsidP="002B4E3E">
      <w:pPr>
        <w:jc w:val="both"/>
      </w:pPr>
      <w:r>
        <w:t xml:space="preserve">Taking into account all that has been outlined above, we believe RAN2 should </w:t>
      </w:r>
      <w:r w:rsidR="00C55378">
        <w:t xml:space="preserve">discuss further how to interpret “neighbour” for certain events and whether their descriptions should be updated accordingly. </w:t>
      </w:r>
    </w:p>
    <w:p w14:paraId="4F906411" w14:textId="363E2E78" w:rsidR="00C55378" w:rsidRDefault="00F84157" w:rsidP="00F84157">
      <w:pPr>
        <w:pStyle w:val="ListParagraph"/>
        <w:numPr>
          <w:ilvl w:val="0"/>
          <w:numId w:val="9"/>
        </w:numPr>
        <w:jc w:val="both"/>
        <w:rPr>
          <w:b/>
        </w:rPr>
      </w:pPr>
      <w:bookmarkStart w:id="6" w:name="_Ref510627180"/>
      <w:r w:rsidRPr="00F84157">
        <w:rPr>
          <w:b/>
        </w:rPr>
        <w:t>RAN2 is kindly asked to consider how to interpret the “neighbour” cell for NR measurement events and whether associated descriptions in TS 38.331 shall be updated</w:t>
      </w:r>
      <w:r w:rsidR="00F92C03">
        <w:rPr>
          <w:b/>
        </w:rPr>
        <w:t>,</w:t>
      </w:r>
      <w:r w:rsidR="00E85EC0">
        <w:rPr>
          <w:b/>
        </w:rPr>
        <w:t xml:space="preserve"> so that </w:t>
      </w:r>
      <w:r w:rsidR="00F92C03">
        <w:rPr>
          <w:b/>
        </w:rPr>
        <w:t xml:space="preserve">the </w:t>
      </w:r>
      <w:r w:rsidR="00E85EC0">
        <w:rPr>
          <w:b/>
        </w:rPr>
        <w:t>ambiguity is removed</w:t>
      </w:r>
      <w:r w:rsidRPr="00F84157">
        <w:rPr>
          <w:b/>
        </w:rPr>
        <w:t>.</w:t>
      </w:r>
      <w:bookmarkEnd w:id="6"/>
    </w:p>
    <w:p w14:paraId="67537D87" w14:textId="18902AE5" w:rsidR="00E62EEE" w:rsidRPr="0069111F" w:rsidRDefault="00E62EEE" w:rsidP="00E62EEE">
      <w:pPr>
        <w:pStyle w:val="Heading2"/>
        <w:rPr>
          <w:lang w:val="en-US"/>
        </w:rPr>
      </w:pPr>
      <w:r w:rsidRPr="0069111F">
        <w:rPr>
          <w:lang w:val="en-US"/>
        </w:rPr>
        <w:t>2</w:t>
      </w:r>
      <w:r>
        <w:rPr>
          <w:lang w:val="en-US"/>
        </w:rPr>
        <w:t>.3</w:t>
      </w:r>
      <w:r w:rsidRPr="0069111F">
        <w:rPr>
          <w:lang w:val="en-US"/>
        </w:rPr>
        <w:tab/>
      </w:r>
      <w:r w:rsidR="000B576F">
        <w:rPr>
          <w:lang w:val="en-US"/>
        </w:rPr>
        <w:t xml:space="preserve">How to </w:t>
      </w:r>
      <w:r w:rsidR="00FA14BB">
        <w:rPr>
          <w:lang w:val="en-US"/>
        </w:rPr>
        <w:t>remove the ambiguity</w:t>
      </w:r>
      <w:r w:rsidR="000B576F">
        <w:rPr>
          <w:lang w:val="en-US"/>
        </w:rPr>
        <w:t xml:space="preserve"> in the</w:t>
      </w:r>
      <w:r w:rsidR="00FA14BB">
        <w:rPr>
          <w:lang w:val="en-US"/>
        </w:rPr>
        <w:t xml:space="preserve"> NR</w:t>
      </w:r>
      <w:r w:rsidR="000B576F">
        <w:rPr>
          <w:lang w:val="en-US"/>
        </w:rPr>
        <w:t xml:space="preserve"> specification</w:t>
      </w:r>
      <w:r w:rsidR="00FA14BB">
        <w:rPr>
          <w:lang w:val="en-US"/>
        </w:rPr>
        <w:t>?</w:t>
      </w:r>
    </w:p>
    <w:p w14:paraId="0A897F86" w14:textId="4B53F0B2" w:rsidR="00E62EEE" w:rsidRDefault="000B576F" w:rsidP="00E62EEE">
      <w:pPr>
        <w:jc w:val="both"/>
      </w:pPr>
      <w:r w:rsidRPr="000B576F">
        <w:t xml:space="preserve">There </w:t>
      </w:r>
      <w:r>
        <w:t xml:space="preserve">seems to be pros and cons of interpreting SCells as neighbours when evaluating A4 events. As commented already before, we do not </w:t>
      </w:r>
      <w:r w:rsidR="000D3F01">
        <w:t xml:space="preserve">fully </w:t>
      </w:r>
      <w:r>
        <w:t xml:space="preserve">acknowledge </w:t>
      </w:r>
      <w:r w:rsidR="000D3F01">
        <w:t xml:space="preserve">e.g. </w:t>
      </w:r>
      <w:r>
        <w:t>the use</w:t>
      </w:r>
      <w:r w:rsidR="00FA14BB">
        <w:t>-cases brought by Ericsson (“</w:t>
      </w:r>
      <w:r>
        <w:t>load balancing for Carrier Aggregation</w:t>
      </w:r>
      <w:r w:rsidR="00FA14BB">
        <w:t>”, there seems to be other means to achieve that</w:t>
      </w:r>
      <w:r>
        <w:t xml:space="preserve">), but we </w:t>
      </w:r>
      <w:r w:rsidR="000D3F01">
        <w:t xml:space="preserve">see some merits, as outlined above: A4 including SCells makes it possible to obtain in one-shot a global knowledge </w:t>
      </w:r>
      <w:r w:rsidR="00FA14BB">
        <w:t>on which cell (</w:t>
      </w:r>
      <w:r w:rsidR="00D010C3">
        <w:t xml:space="preserve">i.e. </w:t>
      </w:r>
      <w:r w:rsidR="00FA14BB">
        <w:t>neighbour or SCell) is a better candidate</w:t>
      </w:r>
      <w:r w:rsidR="00D010C3">
        <w:t xml:space="preserve"> (instead of waiting for A1 and A4 to trigger</w:t>
      </w:r>
      <w:r w:rsidR="00D7256F">
        <w:t xml:space="preserve"> separately</w:t>
      </w:r>
      <w:r w:rsidR="00D010C3">
        <w:t>)</w:t>
      </w:r>
      <w:r w:rsidR="00FA14BB">
        <w:t>. Thus, in order to make everyone satisfied, we suggest introducing a Boolean flag, which could indicate whether A4 is applicable to SCells or not.</w:t>
      </w:r>
    </w:p>
    <w:p w14:paraId="588C528D" w14:textId="281C2027" w:rsidR="00FA14BB" w:rsidRDefault="00D010C3" w:rsidP="00FA14BB">
      <w:pPr>
        <w:pStyle w:val="ListParagraph"/>
        <w:numPr>
          <w:ilvl w:val="0"/>
          <w:numId w:val="9"/>
        </w:numPr>
        <w:jc w:val="both"/>
        <w:rPr>
          <w:b/>
        </w:rPr>
      </w:pPr>
      <w:bookmarkStart w:id="7" w:name="_Ref513720449"/>
      <w:r w:rsidRPr="00D010C3">
        <w:rPr>
          <w:b/>
        </w:rPr>
        <w:t>RAN2 is asked</w:t>
      </w:r>
      <w:r>
        <w:rPr>
          <w:b/>
        </w:rPr>
        <w:t xml:space="preserve"> to introduce</w:t>
      </w:r>
      <w:r w:rsidRPr="00D010C3">
        <w:rPr>
          <w:b/>
        </w:rPr>
        <w:t xml:space="preserve"> a Boolean flag </w:t>
      </w:r>
      <w:r w:rsidRPr="00D010C3">
        <w:rPr>
          <w:b/>
          <w:i/>
        </w:rPr>
        <w:t>a4-applicableToSCells</w:t>
      </w:r>
      <w:r w:rsidRPr="00D010C3">
        <w:rPr>
          <w:b/>
        </w:rPr>
        <w:t xml:space="preserve"> which could indicate how the UE shall evaluate SCell</w:t>
      </w:r>
      <w:r>
        <w:rPr>
          <w:b/>
        </w:rPr>
        <w:t>s</w:t>
      </w:r>
      <w:r w:rsidR="00D7256F">
        <w:rPr>
          <w:b/>
        </w:rPr>
        <w:t xml:space="preserve"> when configured with the</w:t>
      </w:r>
      <w:r w:rsidRPr="00D010C3">
        <w:rPr>
          <w:b/>
        </w:rPr>
        <w:t xml:space="preserve"> A4 </w:t>
      </w:r>
      <w:r>
        <w:rPr>
          <w:b/>
        </w:rPr>
        <w:t xml:space="preserve">measurement </w:t>
      </w:r>
      <w:r w:rsidRPr="00D010C3">
        <w:rPr>
          <w:b/>
        </w:rPr>
        <w:t>event.</w:t>
      </w:r>
      <w:bookmarkEnd w:id="7"/>
      <w:r w:rsidRPr="00D010C3">
        <w:rPr>
          <w:b/>
        </w:rPr>
        <w:t xml:space="preserve"> </w:t>
      </w:r>
    </w:p>
    <w:p w14:paraId="7B26807A" w14:textId="0F1BCD65" w:rsidR="007B555F" w:rsidRDefault="007B555F" w:rsidP="007B555F">
      <w:pPr>
        <w:pStyle w:val="ListParagraph"/>
        <w:ind w:left="0"/>
        <w:jc w:val="both"/>
        <w:rPr>
          <w:b/>
        </w:rPr>
      </w:pPr>
    </w:p>
    <w:p w14:paraId="38A365F2" w14:textId="6F8ACEFA" w:rsidR="007B555F" w:rsidRDefault="007B555F" w:rsidP="007B555F">
      <w:pPr>
        <w:pStyle w:val="ListParagraph"/>
        <w:ind w:left="0"/>
        <w:jc w:val="both"/>
        <w:rPr>
          <w:b/>
        </w:rPr>
      </w:pPr>
    </w:p>
    <w:p w14:paraId="3B333366" w14:textId="36479D28" w:rsidR="007B555F" w:rsidRDefault="007B555F" w:rsidP="007B555F">
      <w:pPr>
        <w:pStyle w:val="ListParagraph"/>
        <w:ind w:left="0"/>
        <w:jc w:val="both"/>
        <w:rPr>
          <w:b/>
        </w:rPr>
      </w:pPr>
    </w:p>
    <w:p w14:paraId="7464DDD9" w14:textId="77777777" w:rsidR="007B555F" w:rsidRPr="00D010C3" w:rsidRDefault="007B555F" w:rsidP="007B555F">
      <w:pPr>
        <w:pStyle w:val="ListParagraph"/>
        <w:ind w:left="0"/>
        <w:jc w:val="both"/>
        <w:rPr>
          <w:b/>
        </w:rPr>
      </w:pPr>
    </w:p>
    <w:p w14:paraId="43A12B72" w14:textId="74CD8207" w:rsidR="00CD4C7B" w:rsidRPr="001F71A7" w:rsidRDefault="00F822BD" w:rsidP="00CD4C7B">
      <w:pPr>
        <w:pStyle w:val="Heading1"/>
        <w:rPr>
          <w:lang w:val="en-US"/>
        </w:rPr>
      </w:pPr>
      <w:r w:rsidRPr="001F71A7">
        <w:rPr>
          <w:lang w:val="en-US"/>
        </w:rPr>
        <w:lastRenderedPageBreak/>
        <w:t>3</w:t>
      </w:r>
      <w:r w:rsidRPr="001F71A7">
        <w:rPr>
          <w:lang w:val="en-US"/>
        </w:rPr>
        <w:tab/>
        <w:t>Conclusions</w:t>
      </w:r>
    </w:p>
    <w:p w14:paraId="190C81D1" w14:textId="2E26FE44" w:rsidR="00CD4C7B" w:rsidRDefault="00997019" w:rsidP="00CD4C7B">
      <w:pPr>
        <w:rPr>
          <w:lang w:val="en-US"/>
        </w:rPr>
      </w:pPr>
      <w:r w:rsidRPr="00997019">
        <w:rPr>
          <w:lang w:val="en-US"/>
        </w:rPr>
        <w:t>In</w:t>
      </w:r>
      <w:r w:rsidR="00F84157">
        <w:rPr>
          <w:lang w:val="en-US"/>
        </w:rPr>
        <w:t xml:space="preserve"> this paper we have discussed </w:t>
      </w:r>
      <w:r w:rsidR="00336667">
        <w:rPr>
          <w:lang w:val="en-US"/>
        </w:rPr>
        <w:t>what does it mean to be a “neighbour”</w:t>
      </w:r>
      <w:r>
        <w:rPr>
          <w:lang w:val="en-US"/>
        </w:rPr>
        <w:t>.</w:t>
      </w:r>
      <w:r w:rsidRPr="00997019">
        <w:rPr>
          <w:lang w:val="en-US"/>
        </w:rPr>
        <w:t xml:space="preserve"> As a result, the following observations and proposals have been made:</w:t>
      </w:r>
    </w:p>
    <w:p w14:paraId="689B0964" w14:textId="6CF9EED3" w:rsidR="00F84157" w:rsidRPr="00F84157" w:rsidRDefault="00F84157" w:rsidP="00CD4C7B">
      <w:pPr>
        <w:rPr>
          <w:b/>
          <w:lang w:val="en-US"/>
        </w:rPr>
      </w:pPr>
      <w:r w:rsidRPr="00F84157">
        <w:rPr>
          <w:b/>
          <w:lang w:val="en-US"/>
        </w:rPr>
        <w:fldChar w:fldCharType="begin"/>
      </w:r>
      <w:r w:rsidRPr="00F84157">
        <w:rPr>
          <w:b/>
          <w:lang w:val="en-US"/>
        </w:rPr>
        <w:instrText xml:space="preserve"> REF _Ref510627155 \r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Observation 1:</w:t>
      </w:r>
      <w:r w:rsidRPr="00F84157">
        <w:rPr>
          <w:b/>
          <w:lang w:val="en-US"/>
        </w:rPr>
        <w:fldChar w:fldCharType="end"/>
      </w:r>
      <w:r w:rsidRPr="00F84157">
        <w:rPr>
          <w:b/>
          <w:lang w:val="en-US"/>
        </w:rPr>
        <w:t xml:space="preserve"> </w:t>
      </w:r>
      <w:r w:rsidRPr="00F84157">
        <w:rPr>
          <w:b/>
          <w:lang w:val="en-US"/>
        </w:rPr>
        <w:fldChar w:fldCharType="begin"/>
      </w:r>
      <w:r w:rsidRPr="00F84157">
        <w:rPr>
          <w:b/>
          <w:lang w:val="en-US"/>
        </w:rPr>
        <w:instrText xml:space="preserve"> REF _Ref510627155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Interpreting “neighbour” as any cell apart from a PCell leads to the lack of orthogonality between A1 and A4 events. The overlap between those events (i.</w:t>
      </w:r>
      <w:r w:rsidR="0026345D">
        <w:rPr>
          <w:b/>
          <w:lang w:val="en-US"/>
        </w:rPr>
        <w:t>e. PSCell</w:t>
      </w:r>
      <w:r w:rsidRPr="00F84157">
        <w:rPr>
          <w:b/>
          <w:lang w:val="en-US"/>
        </w:rPr>
        <w:t xml:space="preserve"> or SCell triggering A4) should be justified.</w:t>
      </w:r>
      <w:r w:rsidRPr="00F84157">
        <w:rPr>
          <w:b/>
          <w:lang w:val="en-US"/>
        </w:rPr>
        <w:fldChar w:fldCharType="end"/>
      </w:r>
    </w:p>
    <w:p w14:paraId="67B593B3" w14:textId="23471D22" w:rsidR="00F84157" w:rsidRPr="00F84157" w:rsidRDefault="00F84157" w:rsidP="00CD4C7B">
      <w:pPr>
        <w:rPr>
          <w:b/>
          <w:lang w:val="en-US"/>
        </w:rPr>
      </w:pPr>
      <w:r w:rsidRPr="00F84157">
        <w:rPr>
          <w:b/>
          <w:lang w:val="en-US"/>
        </w:rPr>
        <w:fldChar w:fldCharType="begin"/>
      </w:r>
      <w:r w:rsidRPr="00F84157">
        <w:rPr>
          <w:b/>
          <w:lang w:val="en-US"/>
        </w:rPr>
        <w:instrText xml:space="preserve"> REF _Ref510627168 \r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Observation 2:</w:t>
      </w:r>
      <w:r w:rsidRPr="00F84157">
        <w:rPr>
          <w:b/>
          <w:lang w:val="en-US"/>
        </w:rPr>
        <w:fldChar w:fldCharType="end"/>
      </w:r>
      <w:r w:rsidRPr="00F84157">
        <w:rPr>
          <w:b/>
          <w:lang w:val="en-US"/>
        </w:rPr>
        <w:t xml:space="preserve"> </w:t>
      </w:r>
      <w:r w:rsidRPr="00F84157">
        <w:rPr>
          <w:b/>
          <w:lang w:val="en-US"/>
        </w:rPr>
        <w:fldChar w:fldCharType="begin"/>
      </w:r>
      <w:r w:rsidRPr="00F84157">
        <w:rPr>
          <w:b/>
          <w:lang w:val="en-US"/>
        </w:rPr>
        <w:instrText xml:space="preserve"> REF _Ref510627168 \h </w:instrText>
      </w:r>
      <w:r>
        <w:rPr>
          <w:b/>
          <w:lang w:val="en-US"/>
        </w:rPr>
        <w:instrText xml:space="preserve"> \* MERGEFORMAT </w:instrText>
      </w:r>
      <w:r w:rsidRPr="00F84157">
        <w:rPr>
          <w:b/>
          <w:lang w:val="en-US"/>
        </w:rPr>
      </w:r>
      <w:r w:rsidRPr="00F84157">
        <w:rPr>
          <w:b/>
          <w:lang w:val="en-US"/>
        </w:rPr>
        <w:fldChar w:fldCharType="separate"/>
      </w:r>
      <w:r w:rsidRPr="00F84157">
        <w:rPr>
          <w:b/>
        </w:rPr>
        <w:t>The current structure of section 5.5.4.x can cause confusion with respect to which events are applicable to the statement on how to interpret “neighbours”, especially as the event descriptions do not logically match the concerned subclause from 5.5.4.1.</w:t>
      </w:r>
      <w:r w:rsidRPr="00F84157">
        <w:rPr>
          <w:b/>
          <w:lang w:val="en-US"/>
        </w:rPr>
        <w:fldChar w:fldCharType="end"/>
      </w:r>
    </w:p>
    <w:p w14:paraId="1E14CA24" w14:textId="5BAD94D2" w:rsidR="00F84157" w:rsidRDefault="00F84157" w:rsidP="00CD4C7B">
      <w:pPr>
        <w:rPr>
          <w:b/>
          <w:lang w:val="en-US"/>
        </w:rPr>
      </w:pPr>
      <w:r w:rsidRPr="00F84157">
        <w:rPr>
          <w:b/>
          <w:lang w:val="en-US"/>
        </w:rPr>
        <w:fldChar w:fldCharType="begin"/>
      </w:r>
      <w:r w:rsidRPr="00F84157">
        <w:rPr>
          <w:b/>
          <w:lang w:val="en-US"/>
        </w:rPr>
        <w:instrText xml:space="preserve"> REF _Ref510627180 \r \h </w:instrText>
      </w:r>
      <w:r>
        <w:rPr>
          <w:b/>
          <w:lang w:val="en-US"/>
        </w:rPr>
        <w:instrText xml:space="preserve"> \* MERGEFORMAT </w:instrText>
      </w:r>
      <w:r w:rsidRPr="00F84157">
        <w:rPr>
          <w:b/>
          <w:lang w:val="en-US"/>
        </w:rPr>
      </w:r>
      <w:r w:rsidRPr="00F84157">
        <w:rPr>
          <w:b/>
          <w:lang w:val="en-US"/>
        </w:rPr>
        <w:fldChar w:fldCharType="separate"/>
      </w:r>
      <w:r w:rsidRPr="00F84157">
        <w:rPr>
          <w:b/>
          <w:lang w:val="en-US"/>
        </w:rPr>
        <w:t>Proposal 1:</w:t>
      </w:r>
      <w:r w:rsidRPr="00F84157">
        <w:rPr>
          <w:b/>
          <w:lang w:val="en-US"/>
        </w:rPr>
        <w:fldChar w:fldCharType="end"/>
      </w:r>
      <w:r w:rsidRPr="00F84157">
        <w:rPr>
          <w:b/>
          <w:lang w:val="en-US"/>
        </w:rPr>
        <w:t xml:space="preserve"> </w:t>
      </w:r>
      <w:r w:rsidRPr="00F84157">
        <w:rPr>
          <w:b/>
          <w:lang w:val="en-US"/>
        </w:rPr>
        <w:fldChar w:fldCharType="begin"/>
      </w:r>
      <w:r w:rsidRPr="00F84157">
        <w:rPr>
          <w:b/>
          <w:lang w:val="en-US"/>
        </w:rPr>
        <w:instrText xml:space="preserve"> REF _Ref510627180 \h </w:instrText>
      </w:r>
      <w:r>
        <w:rPr>
          <w:b/>
          <w:lang w:val="en-US"/>
        </w:rPr>
        <w:instrText xml:space="preserve"> \* MERGEFORMAT </w:instrText>
      </w:r>
      <w:r w:rsidRPr="00F84157">
        <w:rPr>
          <w:b/>
          <w:lang w:val="en-US"/>
        </w:rPr>
      </w:r>
      <w:r w:rsidRPr="00F84157">
        <w:rPr>
          <w:b/>
          <w:lang w:val="en-US"/>
        </w:rPr>
        <w:fldChar w:fldCharType="separate"/>
      </w:r>
      <w:r w:rsidR="00F92C03" w:rsidRPr="00F84157">
        <w:rPr>
          <w:b/>
        </w:rPr>
        <w:t>RAN2 is kindly asked to consider how to interpret the “neighbour” cell for NR measurement events and whether associated descriptions in TS 38.331 shall be updated</w:t>
      </w:r>
      <w:r w:rsidR="00F92C03">
        <w:rPr>
          <w:b/>
        </w:rPr>
        <w:t>, so that the ambiguity is removed</w:t>
      </w:r>
      <w:r w:rsidR="00F92C03" w:rsidRPr="00F84157">
        <w:rPr>
          <w:b/>
        </w:rPr>
        <w:t>.</w:t>
      </w:r>
      <w:r w:rsidRPr="00F84157">
        <w:rPr>
          <w:b/>
          <w:lang w:val="en-US"/>
        </w:rPr>
        <w:fldChar w:fldCharType="end"/>
      </w:r>
    </w:p>
    <w:p w14:paraId="2D33233E" w14:textId="0FD32622" w:rsidR="007B555F" w:rsidRPr="00F84157" w:rsidRDefault="007B555F" w:rsidP="00CD4C7B">
      <w:pPr>
        <w:rPr>
          <w:b/>
          <w:lang w:val="en-US"/>
        </w:rPr>
      </w:pPr>
      <w:r>
        <w:rPr>
          <w:b/>
          <w:lang w:val="en-US"/>
        </w:rPr>
        <w:fldChar w:fldCharType="begin"/>
      </w:r>
      <w:r>
        <w:rPr>
          <w:b/>
          <w:lang w:val="en-US"/>
        </w:rPr>
        <w:instrText xml:space="preserve"> REF _Ref513720449 \r \h </w:instrText>
      </w:r>
      <w:r>
        <w:rPr>
          <w:b/>
          <w:lang w:val="en-US"/>
        </w:rPr>
      </w:r>
      <w:r>
        <w:rPr>
          <w:b/>
          <w:lang w:val="en-US"/>
        </w:rPr>
        <w:fldChar w:fldCharType="separate"/>
      </w:r>
      <w:r>
        <w:rPr>
          <w:b/>
          <w:lang w:val="en-US"/>
        </w:rPr>
        <w:t>Proposal 2:</w:t>
      </w:r>
      <w:r>
        <w:rPr>
          <w:b/>
          <w:lang w:val="en-US"/>
        </w:rPr>
        <w:fldChar w:fldCharType="end"/>
      </w:r>
      <w:r>
        <w:rPr>
          <w:b/>
          <w:lang w:val="en-US"/>
        </w:rPr>
        <w:t xml:space="preserve"> </w:t>
      </w:r>
      <w:r>
        <w:rPr>
          <w:b/>
          <w:lang w:val="en-US"/>
        </w:rPr>
        <w:fldChar w:fldCharType="begin"/>
      </w:r>
      <w:r>
        <w:rPr>
          <w:b/>
          <w:lang w:val="en-US"/>
        </w:rPr>
        <w:instrText xml:space="preserve"> REF _Ref513720449 \h </w:instrText>
      </w:r>
      <w:r>
        <w:rPr>
          <w:b/>
          <w:lang w:val="en-US"/>
        </w:rPr>
      </w:r>
      <w:r>
        <w:rPr>
          <w:b/>
          <w:lang w:val="en-US"/>
        </w:rPr>
        <w:fldChar w:fldCharType="separate"/>
      </w:r>
      <w:r w:rsidR="00A90D86" w:rsidRPr="00D010C3">
        <w:rPr>
          <w:b/>
        </w:rPr>
        <w:t>RAN2 is asked</w:t>
      </w:r>
      <w:r w:rsidR="00A90D86">
        <w:rPr>
          <w:b/>
        </w:rPr>
        <w:t xml:space="preserve"> to introduce</w:t>
      </w:r>
      <w:r w:rsidR="00A90D86" w:rsidRPr="00D010C3">
        <w:rPr>
          <w:b/>
        </w:rPr>
        <w:t xml:space="preserve"> a Boolean flag </w:t>
      </w:r>
      <w:r w:rsidR="00A90D86" w:rsidRPr="00D010C3">
        <w:rPr>
          <w:b/>
          <w:i/>
        </w:rPr>
        <w:t>a4-applicableToSCells</w:t>
      </w:r>
      <w:r w:rsidR="00A90D86" w:rsidRPr="00D010C3">
        <w:rPr>
          <w:b/>
        </w:rPr>
        <w:t xml:space="preserve"> which could indicate how the UE shall evaluate SCell</w:t>
      </w:r>
      <w:r w:rsidR="00A90D86">
        <w:rPr>
          <w:b/>
        </w:rPr>
        <w:t>s when configured with the</w:t>
      </w:r>
      <w:r w:rsidR="00A90D86" w:rsidRPr="00D010C3">
        <w:rPr>
          <w:b/>
        </w:rPr>
        <w:t xml:space="preserve"> A4 </w:t>
      </w:r>
      <w:r w:rsidR="00A90D86">
        <w:rPr>
          <w:b/>
        </w:rPr>
        <w:t xml:space="preserve">measurement </w:t>
      </w:r>
      <w:r w:rsidR="00A90D86" w:rsidRPr="00D010C3">
        <w:rPr>
          <w:b/>
        </w:rPr>
        <w:t>event.</w:t>
      </w:r>
      <w:r>
        <w:rPr>
          <w:b/>
          <w:lang w:val="en-US"/>
        </w:rPr>
        <w:fldChar w:fldCharType="end"/>
      </w:r>
      <w:bookmarkStart w:id="8" w:name="_GoBack"/>
      <w:bookmarkEnd w:id="8"/>
    </w:p>
    <w:p w14:paraId="2B8C910F" w14:textId="670DC053" w:rsidR="00CD4C7B" w:rsidRPr="006E13D1" w:rsidRDefault="00CD4C7B" w:rsidP="00636119">
      <w:pPr>
        <w:pStyle w:val="Heading1"/>
      </w:pPr>
      <w:r w:rsidRPr="006E13D1">
        <w:t>References</w:t>
      </w:r>
      <w:bookmarkStart w:id="9" w:name="_Ref75086397"/>
    </w:p>
    <w:p w14:paraId="7EC8EB53" w14:textId="4375FC6A" w:rsidR="008F5C26" w:rsidRDefault="008F5C26" w:rsidP="008F5C26">
      <w:pPr>
        <w:numPr>
          <w:ilvl w:val="0"/>
          <w:numId w:val="4"/>
        </w:numPr>
        <w:overflowPunct w:val="0"/>
        <w:autoSpaceDE w:val="0"/>
        <w:autoSpaceDN w:val="0"/>
        <w:adjustRightInd w:val="0"/>
        <w:textAlignment w:val="baseline"/>
      </w:pPr>
      <w:bookmarkStart w:id="10" w:name="_Ref510621212"/>
      <w:bookmarkStart w:id="11" w:name="_Ref509483362"/>
      <w:bookmarkStart w:id="12" w:name="_Ref509483069"/>
      <w:r w:rsidRPr="008F5C26">
        <w:t>R2-1801308</w:t>
      </w:r>
      <w:r>
        <w:t xml:space="preserve"> </w:t>
      </w:r>
      <w:r w:rsidRPr="008F5C26">
        <w:rPr>
          <w:i/>
        </w:rPr>
        <w:t>Resolving ambiguous UE behaviour related to Event A4</w:t>
      </w:r>
      <w:r>
        <w:t>, 3GPP TSG-RAN WG2 AH-1801 Vancouver, Canada, 22nd – 26th January 2018</w:t>
      </w:r>
      <w:bookmarkEnd w:id="10"/>
    </w:p>
    <w:p w14:paraId="37469681" w14:textId="0D89BB5E" w:rsidR="00E83AE5" w:rsidRPr="007A2423" w:rsidRDefault="00E83AE5" w:rsidP="00636119">
      <w:pPr>
        <w:numPr>
          <w:ilvl w:val="0"/>
          <w:numId w:val="4"/>
        </w:numPr>
        <w:overflowPunct w:val="0"/>
        <w:autoSpaceDE w:val="0"/>
        <w:autoSpaceDN w:val="0"/>
        <w:adjustRightInd w:val="0"/>
        <w:textAlignment w:val="baseline"/>
      </w:pPr>
      <w:bookmarkStart w:id="13" w:name="_Ref510621229"/>
      <w:r>
        <w:t>3GPP TS 38.331</w:t>
      </w:r>
      <w:r w:rsidRPr="006E13D1">
        <w:t xml:space="preserve"> </w:t>
      </w:r>
      <w:r>
        <w:rPr>
          <w:i/>
          <w:iCs/>
        </w:rPr>
        <w:t>NR Radio Resource Control</w:t>
      </w:r>
      <w:bookmarkEnd w:id="11"/>
      <w:r w:rsidR="00636119">
        <w:rPr>
          <w:i/>
          <w:iCs/>
        </w:rPr>
        <w:t xml:space="preserve"> (RRC) protocol specification, </w:t>
      </w:r>
      <w:r w:rsidR="00636119" w:rsidRPr="00636119">
        <w:rPr>
          <w:i/>
          <w:iCs/>
        </w:rPr>
        <w:t>V15.1.0 (2018-03)</w:t>
      </w:r>
      <w:bookmarkEnd w:id="13"/>
    </w:p>
    <w:p w14:paraId="77E5B7A6" w14:textId="7F68A10B" w:rsidR="007A2423" w:rsidRPr="006A0AC1" w:rsidRDefault="007A2423" w:rsidP="007A2423">
      <w:pPr>
        <w:numPr>
          <w:ilvl w:val="0"/>
          <w:numId w:val="4"/>
        </w:numPr>
        <w:overflowPunct w:val="0"/>
        <w:autoSpaceDE w:val="0"/>
        <w:autoSpaceDN w:val="0"/>
        <w:adjustRightInd w:val="0"/>
        <w:textAlignment w:val="baseline"/>
      </w:pPr>
      <w:bookmarkStart w:id="14" w:name="_Ref510621521"/>
      <w:r>
        <w:t>3GPP TS 36.331</w:t>
      </w:r>
      <w:r w:rsidRPr="006E13D1">
        <w:t xml:space="preserve"> </w:t>
      </w:r>
      <w:r>
        <w:rPr>
          <w:i/>
          <w:iCs/>
        </w:rPr>
        <w:t xml:space="preserve">LTE Radio Resource Control (RRC) protocol specification, </w:t>
      </w:r>
      <w:r w:rsidRPr="00636119">
        <w:rPr>
          <w:i/>
          <w:iCs/>
        </w:rPr>
        <w:t>V15.1.0 (2018-03)</w:t>
      </w:r>
      <w:bookmarkEnd w:id="9"/>
      <w:bookmarkEnd w:id="12"/>
      <w:bookmarkEnd w:id="14"/>
    </w:p>
    <w:p w14:paraId="6BF70D8B" w14:textId="6E9932B6" w:rsidR="00E85EC0" w:rsidRDefault="00E85EC0" w:rsidP="00E85EC0">
      <w:pPr>
        <w:numPr>
          <w:ilvl w:val="0"/>
          <w:numId w:val="4"/>
        </w:numPr>
        <w:overflowPunct w:val="0"/>
        <w:autoSpaceDE w:val="0"/>
        <w:autoSpaceDN w:val="0"/>
        <w:adjustRightInd w:val="0"/>
        <w:textAlignment w:val="baseline"/>
      </w:pPr>
      <w:bookmarkStart w:id="15" w:name="_Ref510716219"/>
      <w:r w:rsidRPr="00E85EC0">
        <w:t>R2-106456</w:t>
      </w:r>
      <w:r>
        <w:t xml:space="preserve"> </w:t>
      </w:r>
      <w:r w:rsidRPr="006A0AC1">
        <w:rPr>
          <w:i/>
        </w:rPr>
        <w:t>Carrier Aggregation; measurement related issues</w:t>
      </w:r>
      <w:r>
        <w:t>, 3GPP TSG-RAN2#72 meeting Jacksonville, US</w:t>
      </w:r>
      <w:r w:rsidR="00625C44">
        <w:t>A</w:t>
      </w:r>
      <w:r>
        <w:t>, 15- 19 Nov 2010</w:t>
      </w:r>
      <w:bookmarkEnd w:id="15"/>
    </w:p>
    <w:sectPr w:rsidR="00E85EC0" w:rsidSect="003135D6">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EAFAB" w14:textId="77777777" w:rsidR="00140B35" w:rsidRDefault="00140B35">
      <w:r>
        <w:separator/>
      </w:r>
    </w:p>
  </w:endnote>
  <w:endnote w:type="continuationSeparator" w:id="0">
    <w:p w14:paraId="0AEB7E1C" w14:textId="77777777" w:rsidR="00140B35" w:rsidRDefault="0014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2DE81" w14:textId="77777777" w:rsidR="00140B35" w:rsidRDefault="00140B35">
      <w:r>
        <w:separator/>
      </w:r>
    </w:p>
  </w:footnote>
  <w:footnote w:type="continuationSeparator" w:id="0">
    <w:p w14:paraId="6AE1F142" w14:textId="77777777" w:rsidR="00140B35" w:rsidRDefault="0014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0B2" w14:textId="77777777" w:rsidR="002C62C5" w:rsidRDefault="002C62C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875DFA"/>
    <w:multiLevelType w:val="hybridMultilevel"/>
    <w:tmpl w:val="F0C2D7DC"/>
    <w:lvl w:ilvl="0" w:tplc="232CC92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2F6FF9"/>
    <w:multiLevelType w:val="hybridMultilevel"/>
    <w:tmpl w:val="FE14037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95B4D22"/>
    <w:multiLevelType w:val="hybridMultilevel"/>
    <w:tmpl w:val="B8BC9244"/>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A7421B"/>
    <w:multiLevelType w:val="hybridMultilevel"/>
    <w:tmpl w:val="920A0D44"/>
    <w:lvl w:ilvl="0" w:tplc="041D0001">
      <w:numFmt w:val="bullet"/>
      <w:lvlText w:val="-"/>
      <w:lvlJc w:val="left"/>
      <w:pPr>
        <w:ind w:left="765" w:hanging="360"/>
      </w:pPr>
      <w:rPr>
        <w:rFonts w:ascii="Times New Roman" w:eastAsia="Times New Roman" w:hAnsi="Times New Roman" w:cs="Times New Roman"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6D3D1DEF"/>
    <w:multiLevelType w:val="hybridMultilevel"/>
    <w:tmpl w:val="E1FAD85A"/>
    <w:lvl w:ilvl="0" w:tplc="2BFE099E">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E97AC4"/>
    <w:multiLevelType w:val="hybridMultilevel"/>
    <w:tmpl w:val="1128913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7"/>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6199"/>
    <w:rsid w:val="00037184"/>
    <w:rsid w:val="00040095"/>
    <w:rsid w:val="00056ED7"/>
    <w:rsid w:val="00080512"/>
    <w:rsid w:val="00090468"/>
    <w:rsid w:val="000B576F"/>
    <w:rsid w:val="000B7BCF"/>
    <w:rsid w:val="000C522B"/>
    <w:rsid w:val="000D3F01"/>
    <w:rsid w:val="000D58AB"/>
    <w:rsid w:val="000F5A93"/>
    <w:rsid w:val="00112F1A"/>
    <w:rsid w:val="00116448"/>
    <w:rsid w:val="00140B35"/>
    <w:rsid w:val="00145075"/>
    <w:rsid w:val="001741A0"/>
    <w:rsid w:val="00175FA0"/>
    <w:rsid w:val="0017719A"/>
    <w:rsid w:val="00181FE2"/>
    <w:rsid w:val="00194CD0"/>
    <w:rsid w:val="001B1C4E"/>
    <w:rsid w:val="001B49C9"/>
    <w:rsid w:val="001C4F79"/>
    <w:rsid w:val="001F168B"/>
    <w:rsid w:val="001F71A7"/>
    <w:rsid w:val="001F7831"/>
    <w:rsid w:val="00204045"/>
    <w:rsid w:val="0020712B"/>
    <w:rsid w:val="00213D46"/>
    <w:rsid w:val="00217CD8"/>
    <w:rsid w:val="0022606D"/>
    <w:rsid w:val="00231728"/>
    <w:rsid w:val="0026345D"/>
    <w:rsid w:val="002747EC"/>
    <w:rsid w:val="002855BF"/>
    <w:rsid w:val="002B4E3E"/>
    <w:rsid w:val="002C62C5"/>
    <w:rsid w:val="002F0D22"/>
    <w:rsid w:val="003135D6"/>
    <w:rsid w:val="003172DC"/>
    <w:rsid w:val="00320352"/>
    <w:rsid w:val="00325AE3"/>
    <w:rsid w:val="00326069"/>
    <w:rsid w:val="00336667"/>
    <w:rsid w:val="0035462D"/>
    <w:rsid w:val="00364B41"/>
    <w:rsid w:val="003B40AD"/>
    <w:rsid w:val="003C4E37"/>
    <w:rsid w:val="003E16BE"/>
    <w:rsid w:val="004006E8"/>
    <w:rsid w:val="00401855"/>
    <w:rsid w:val="004658F0"/>
    <w:rsid w:val="00477455"/>
    <w:rsid w:val="00481333"/>
    <w:rsid w:val="00492DDF"/>
    <w:rsid w:val="004A15B4"/>
    <w:rsid w:val="004A1F7B"/>
    <w:rsid w:val="004C44D2"/>
    <w:rsid w:val="004D3578"/>
    <w:rsid w:val="004D380D"/>
    <w:rsid w:val="004E213A"/>
    <w:rsid w:val="004E7E55"/>
    <w:rsid w:val="00503171"/>
    <w:rsid w:val="00503E34"/>
    <w:rsid w:val="00506C28"/>
    <w:rsid w:val="00531528"/>
    <w:rsid w:val="00534DA0"/>
    <w:rsid w:val="005362C7"/>
    <w:rsid w:val="005438E8"/>
    <w:rsid w:val="00543E6C"/>
    <w:rsid w:val="00565087"/>
    <w:rsid w:val="0056573F"/>
    <w:rsid w:val="00565C6C"/>
    <w:rsid w:val="005677FF"/>
    <w:rsid w:val="005D6449"/>
    <w:rsid w:val="0060289C"/>
    <w:rsid w:val="00611566"/>
    <w:rsid w:val="00625C44"/>
    <w:rsid w:val="00636119"/>
    <w:rsid w:val="0064303A"/>
    <w:rsid w:val="00643233"/>
    <w:rsid w:val="00645C62"/>
    <w:rsid w:val="00646D99"/>
    <w:rsid w:val="00656910"/>
    <w:rsid w:val="0069111F"/>
    <w:rsid w:val="006A0AC1"/>
    <w:rsid w:val="006C2F59"/>
    <w:rsid w:val="006C66D8"/>
    <w:rsid w:val="006D1E24"/>
    <w:rsid w:val="006D47F3"/>
    <w:rsid w:val="006E1417"/>
    <w:rsid w:val="006F6957"/>
    <w:rsid w:val="006F6A2C"/>
    <w:rsid w:val="00710201"/>
    <w:rsid w:val="007342B5"/>
    <w:rsid w:val="00734A5B"/>
    <w:rsid w:val="00744E76"/>
    <w:rsid w:val="00757D40"/>
    <w:rsid w:val="00781F0F"/>
    <w:rsid w:val="0078727C"/>
    <w:rsid w:val="0079049D"/>
    <w:rsid w:val="00791D7C"/>
    <w:rsid w:val="00793DC5"/>
    <w:rsid w:val="007A2423"/>
    <w:rsid w:val="007B18D8"/>
    <w:rsid w:val="007B555F"/>
    <w:rsid w:val="007C095F"/>
    <w:rsid w:val="007D12AA"/>
    <w:rsid w:val="007D60EC"/>
    <w:rsid w:val="007D7BF4"/>
    <w:rsid w:val="008028A4"/>
    <w:rsid w:val="00813245"/>
    <w:rsid w:val="008768CA"/>
    <w:rsid w:val="00877EF9"/>
    <w:rsid w:val="00880559"/>
    <w:rsid w:val="008975AD"/>
    <w:rsid w:val="008B5306"/>
    <w:rsid w:val="008C1039"/>
    <w:rsid w:val="008D2E4D"/>
    <w:rsid w:val="008F5C26"/>
    <w:rsid w:val="0090271F"/>
    <w:rsid w:val="00902DB9"/>
    <w:rsid w:val="0090466A"/>
    <w:rsid w:val="009330AC"/>
    <w:rsid w:val="00936071"/>
    <w:rsid w:val="00940212"/>
    <w:rsid w:val="00942EC2"/>
    <w:rsid w:val="00961B32"/>
    <w:rsid w:val="00970DB3"/>
    <w:rsid w:val="00974BB0"/>
    <w:rsid w:val="00984D24"/>
    <w:rsid w:val="00984E0D"/>
    <w:rsid w:val="00997019"/>
    <w:rsid w:val="009A0AF3"/>
    <w:rsid w:val="009B07CD"/>
    <w:rsid w:val="009C19E9"/>
    <w:rsid w:val="009D3CA2"/>
    <w:rsid w:val="009D74A6"/>
    <w:rsid w:val="009F00DE"/>
    <w:rsid w:val="00A10F02"/>
    <w:rsid w:val="00A204CA"/>
    <w:rsid w:val="00A2513B"/>
    <w:rsid w:val="00A53724"/>
    <w:rsid w:val="00A71B22"/>
    <w:rsid w:val="00A82346"/>
    <w:rsid w:val="00A84367"/>
    <w:rsid w:val="00A87BEB"/>
    <w:rsid w:val="00A90D86"/>
    <w:rsid w:val="00A9671C"/>
    <w:rsid w:val="00AA1553"/>
    <w:rsid w:val="00AB237E"/>
    <w:rsid w:val="00B05962"/>
    <w:rsid w:val="00B15449"/>
    <w:rsid w:val="00B24391"/>
    <w:rsid w:val="00B27303"/>
    <w:rsid w:val="00B47FD1"/>
    <w:rsid w:val="00B516BB"/>
    <w:rsid w:val="00B62E98"/>
    <w:rsid w:val="00BA0CD0"/>
    <w:rsid w:val="00BB1B03"/>
    <w:rsid w:val="00BC3555"/>
    <w:rsid w:val="00C12B51"/>
    <w:rsid w:val="00C24650"/>
    <w:rsid w:val="00C33079"/>
    <w:rsid w:val="00C55378"/>
    <w:rsid w:val="00C83A13"/>
    <w:rsid w:val="00C9068C"/>
    <w:rsid w:val="00C92967"/>
    <w:rsid w:val="00CA3D0C"/>
    <w:rsid w:val="00CA654B"/>
    <w:rsid w:val="00CD4C7B"/>
    <w:rsid w:val="00CE04E8"/>
    <w:rsid w:val="00D010C3"/>
    <w:rsid w:val="00D30449"/>
    <w:rsid w:val="00D33BE3"/>
    <w:rsid w:val="00D3792D"/>
    <w:rsid w:val="00D55E47"/>
    <w:rsid w:val="00D62E19"/>
    <w:rsid w:val="00D630C5"/>
    <w:rsid w:val="00D7256F"/>
    <w:rsid w:val="00D738D6"/>
    <w:rsid w:val="00D80795"/>
    <w:rsid w:val="00D854BE"/>
    <w:rsid w:val="00D87E00"/>
    <w:rsid w:val="00D9134D"/>
    <w:rsid w:val="00D96D11"/>
    <w:rsid w:val="00DA6719"/>
    <w:rsid w:val="00DA7A03"/>
    <w:rsid w:val="00DB0DB8"/>
    <w:rsid w:val="00DB1818"/>
    <w:rsid w:val="00DC309B"/>
    <w:rsid w:val="00DC4DA2"/>
    <w:rsid w:val="00E51703"/>
    <w:rsid w:val="00E62835"/>
    <w:rsid w:val="00E62EEE"/>
    <w:rsid w:val="00E77645"/>
    <w:rsid w:val="00E83697"/>
    <w:rsid w:val="00E83AE5"/>
    <w:rsid w:val="00E85EC0"/>
    <w:rsid w:val="00EB18A1"/>
    <w:rsid w:val="00EC4A25"/>
    <w:rsid w:val="00ED3D6B"/>
    <w:rsid w:val="00EF090C"/>
    <w:rsid w:val="00F025A2"/>
    <w:rsid w:val="00F06DB6"/>
    <w:rsid w:val="00F06F37"/>
    <w:rsid w:val="00F07388"/>
    <w:rsid w:val="00F138C4"/>
    <w:rsid w:val="00F2026E"/>
    <w:rsid w:val="00F2210A"/>
    <w:rsid w:val="00F37743"/>
    <w:rsid w:val="00F4278B"/>
    <w:rsid w:val="00F53758"/>
    <w:rsid w:val="00F54A3D"/>
    <w:rsid w:val="00F54CB0"/>
    <w:rsid w:val="00F653B8"/>
    <w:rsid w:val="00F71B89"/>
    <w:rsid w:val="00F7353C"/>
    <w:rsid w:val="00F76F8F"/>
    <w:rsid w:val="00F822BD"/>
    <w:rsid w:val="00F84157"/>
    <w:rsid w:val="00F8611F"/>
    <w:rsid w:val="00F92C03"/>
    <w:rsid w:val="00FA1266"/>
    <w:rsid w:val="00FA14BB"/>
    <w:rsid w:val="00FB18E9"/>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565C6C"/>
    <w:pPr>
      <w:ind w:left="720"/>
      <w:contextualSpacing/>
    </w:pPr>
  </w:style>
  <w:style w:type="character" w:styleId="CommentReference">
    <w:name w:val="annotation reference"/>
    <w:basedOn w:val="DefaultParagraphFont"/>
    <w:rsid w:val="007D12AA"/>
    <w:rPr>
      <w:sz w:val="16"/>
      <w:szCs w:val="16"/>
    </w:rPr>
  </w:style>
  <w:style w:type="paragraph" w:styleId="CommentText">
    <w:name w:val="annotation text"/>
    <w:basedOn w:val="Normal"/>
    <w:link w:val="CommentTextChar"/>
    <w:rsid w:val="007D12AA"/>
  </w:style>
  <w:style w:type="character" w:customStyle="1" w:styleId="CommentTextChar">
    <w:name w:val="Comment Text Char"/>
    <w:basedOn w:val="DefaultParagraphFont"/>
    <w:link w:val="CommentText"/>
    <w:rsid w:val="007D12AA"/>
    <w:rPr>
      <w:lang w:eastAsia="en-US"/>
    </w:rPr>
  </w:style>
  <w:style w:type="paragraph" w:styleId="CommentSubject">
    <w:name w:val="annotation subject"/>
    <w:basedOn w:val="CommentText"/>
    <w:next w:val="CommentText"/>
    <w:link w:val="CommentSubjectChar"/>
    <w:rsid w:val="007D12AA"/>
    <w:rPr>
      <w:b/>
      <w:bCs/>
    </w:rPr>
  </w:style>
  <w:style w:type="character" w:customStyle="1" w:styleId="CommentSubjectChar">
    <w:name w:val="Comment Subject Char"/>
    <w:basedOn w:val="CommentTextChar"/>
    <w:link w:val="CommentSubject"/>
    <w:rsid w:val="007D12AA"/>
    <w:rPr>
      <w:b/>
      <w:bCs/>
      <w:lang w:eastAsia="en-US"/>
    </w:rPr>
  </w:style>
  <w:style w:type="character" w:customStyle="1" w:styleId="B2Char">
    <w:name w:val="B2 Char"/>
    <w:link w:val="B2"/>
    <w:qFormat/>
    <w:rsid w:val="003135D6"/>
    <w:rPr>
      <w:lang w:eastAsia="en-US"/>
    </w:rPr>
  </w:style>
  <w:style w:type="character" w:customStyle="1" w:styleId="TALCar">
    <w:name w:val="TAL Car"/>
    <w:link w:val="TAL"/>
    <w:qFormat/>
    <w:rsid w:val="00503E34"/>
    <w:rPr>
      <w:rFonts w:ascii="Arial" w:hAnsi="Arial"/>
      <w:sz w:val="18"/>
      <w:lang w:eastAsia="en-US"/>
    </w:rPr>
  </w:style>
  <w:style w:type="character" w:customStyle="1" w:styleId="TAHCar">
    <w:name w:val="TAH Car"/>
    <w:link w:val="TAH"/>
    <w:locked/>
    <w:rsid w:val="00503E34"/>
    <w:rPr>
      <w:rFonts w:ascii="Arial" w:hAnsi="Arial"/>
      <w:b/>
      <w:sz w:val="18"/>
      <w:lang w:eastAsia="en-US"/>
    </w:rPr>
  </w:style>
  <w:style w:type="character" w:styleId="PlaceholderText">
    <w:name w:val="Placeholder Text"/>
    <w:basedOn w:val="DefaultParagraphFont"/>
    <w:uiPriority w:val="99"/>
    <w:semiHidden/>
    <w:rsid w:val="00BA0CD0"/>
    <w:rPr>
      <w:color w:val="808080"/>
    </w:rPr>
  </w:style>
  <w:style w:type="table" w:styleId="TableGrid">
    <w:name w:val="Table Grid"/>
    <w:basedOn w:val="TableNormal"/>
    <w:rsid w:val="007D6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7D60EC"/>
    <w:rPr>
      <w:lang w:eastAsia="en-US"/>
    </w:rPr>
  </w:style>
  <w:style w:type="character" w:customStyle="1" w:styleId="B3Char2">
    <w:name w:val="B3 Char2"/>
    <w:link w:val="B3"/>
    <w:qFormat/>
    <w:rsid w:val="007D60EC"/>
    <w:rPr>
      <w:lang w:eastAsia="en-US"/>
    </w:rPr>
  </w:style>
  <w:style w:type="character" w:customStyle="1" w:styleId="B4Char">
    <w:name w:val="B4 Char"/>
    <w:link w:val="B4"/>
    <w:rsid w:val="007D60EC"/>
    <w:rPr>
      <w:lang w:eastAsia="en-US"/>
    </w:rPr>
  </w:style>
  <w:style w:type="character" w:customStyle="1" w:styleId="B5Char">
    <w:name w:val="B5 Char"/>
    <w:link w:val="B5"/>
    <w:rsid w:val="007D60EC"/>
    <w:rPr>
      <w:lang w:eastAsia="en-US"/>
    </w:rPr>
  </w:style>
  <w:style w:type="paragraph" w:customStyle="1" w:styleId="Doc-text2">
    <w:name w:val="Doc-text2"/>
    <w:basedOn w:val="Normal"/>
    <w:link w:val="Doc-text2Char"/>
    <w:qFormat/>
    <w:rsid w:val="006430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4303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071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7234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5AIRPNAIUNRU-859666464-1977</_dlc_DocId>
    <_dlc_DocIdUrl xmlns="71c5aaf6-e6ce-465b-b873-5148d2a4c105">
      <Url>https://nokia.sharepoint.com/sites/c5g/e2earch/_layouts/15/DocIdRedir.aspx?ID=5AIRPNAIUNRU-859666464-1977</Url>
      <Description>5AIRPNAIUNRU-859666464-1977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6.xml><?xml version="1.0" encoding="utf-8"?>
<ds:datastoreItem xmlns:ds="http://schemas.openxmlformats.org/officeDocument/2006/customXml" ds:itemID="{3F0E1BF0-8C36-43FA-AB23-29E2770A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547</TotalTime>
  <Pages>3</Pages>
  <Words>1180</Words>
  <Characters>6730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69</cp:revision>
  <dcterms:created xsi:type="dcterms:W3CDTF">2018-03-22T10:53:00Z</dcterms:created>
  <dcterms:modified xsi:type="dcterms:W3CDTF">2018-05-11T05:55:00Z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d992da45-aa13-47b5-a9ea-8cff357f54c4</vt:lpwstr>
  </property>
</Properties>
</file>